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rPr>
          <w:rFonts w:ascii="Arial" w:cs="Arial" w:hAnsi="Arial" w:eastAsia="Arial"/>
          <w:sz w:val="28"/>
          <w:szCs w:val="28"/>
        </w:rPr>
      </w:pPr>
      <w:r>
        <w:rPr>
          <w:rFonts w:ascii="Arial" w:hAnsi="Arial"/>
          <w:sz w:val="28"/>
          <w:szCs w:val="28"/>
          <w:rtl w:val="0"/>
          <w:lang w:val="en-US"/>
        </w:rPr>
        <w:t xml:space="preserve"> Diversity and Inclusion Policy</w:t>
      </w:r>
    </w:p>
    <w:p>
      <w:pPr>
        <w:pStyle w:val="Heading"/>
        <w:spacing w:before="0" w:after="0"/>
        <w:rPr>
          <w:rFonts w:ascii="Arial" w:cs="Arial" w:hAnsi="Arial" w:eastAsia="Arial"/>
          <w:sz w:val="28"/>
          <w:szCs w:val="28"/>
          <w:lang w:val="en-US"/>
        </w:rPr>
      </w:pPr>
    </w:p>
    <w:p>
      <w:pPr>
        <w:pStyle w:val="Heading"/>
        <w:spacing w:before="0" w:after="0"/>
        <w:rPr>
          <w:rFonts w:ascii="Arial" w:cs="Arial" w:hAnsi="Arial" w:eastAsia="Arial"/>
          <w:sz w:val="28"/>
          <w:szCs w:val="28"/>
        </w:rPr>
      </w:pPr>
      <w:bookmarkStart w:name="_Including_Standards_Code" w:id="0"/>
      <w:bookmarkEnd w:id="0"/>
      <w:r>
        <w:rPr>
          <w:rFonts w:ascii="Arial" w:hAnsi="Arial"/>
          <w:sz w:val="28"/>
          <w:szCs w:val="28"/>
          <w:rtl w:val="0"/>
          <w:lang w:val="en-US"/>
        </w:rPr>
        <w:t>I</w:t>
      </w:r>
      <w:r>
        <w:rPr>
          <w:rFonts w:ascii="Arial" w:hAnsi="Arial"/>
          <w:sz w:val="28"/>
          <w:szCs w:val="28"/>
          <w:rtl w:val="0"/>
          <w:lang w:val="en-US"/>
        </w:rPr>
        <w:t xml:space="preserve">ncluding Code of Conduct and Reporting Procedure </w:t>
      </w:r>
    </w:p>
    <w:p>
      <w:pPr>
        <w:pStyle w:val="Heading"/>
        <w:spacing w:before="0" w:after="0"/>
        <w:rPr>
          <w:rFonts w:ascii="Arial" w:cs="Arial" w:hAnsi="Arial" w:eastAsia="Arial"/>
          <w:sz w:val="28"/>
          <w:szCs w:val="28"/>
          <w:lang w:val="en-US"/>
        </w:rPr>
      </w:pPr>
    </w:p>
    <w:p>
      <w:pPr>
        <w:pStyle w:val="Heading"/>
        <w:spacing w:before="0" w:after="0"/>
        <w:rPr>
          <w:rFonts w:ascii="Arial" w:cs="Arial" w:hAnsi="Arial" w:eastAsia="Arial"/>
          <w:sz w:val="28"/>
          <w:szCs w:val="28"/>
          <w:lang w:val="en-US"/>
        </w:rPr>
      </w:pPr>
    </w:p>
    <w:p>
      <w:pPr>
        <w:pStyle w:val="Body"/>
        <w:rPr>
          <w:rFonts w:ascii="Arial" w:cs="Arial" w:hAnsi="Arial" w:eastAsia="Arial"/>
          <w:b w:val="1"/>
          <w:bCs w:val="1"/>
          <w:kern w:val="32"/>
          <w:sz w:val="28"/>
          <w:szCs w:val="28"/>
          <w:shd w:val="clear" w:color="auto" w:fill="ffff00"/>
          <w:lang w:val="en-US"/>
        </w:rPr>
      </w:pPr>
      <w:r>
        <w:rPr>
          <w:rFonts w:ascii="Arial" w:hAnsi="Arial"/>
          <w:b w:val="1"/>
          <w:bCs w:val="1"/>
          <w:kern w:val="32"/>
          <w:sz w:val="28"/>
          <w:szCs w:val="28"/>
          <w:shd w:val="clear" w:color="auto" w:fill="ffff00"/>
          <w:rtl w:val="0"/>
          <w:lang w:val="en-US"/>
        </w:rPr>
        <w:t>Accessible Tennis CIC Company No: 530601</w:t>
      </w:r>
    </w:p>
    <w:p>
      <w:pPr>
        <w:pStyle w:val="Body"/>
        <w:rPr>
          <w:rFonts w:ascii="Arial" w:cs="Arial" w:hAnsi="Arial" w:eastAsia="Arial"/>
          <w:b w:val="1"/>
          <w:bCs w:val="1"/>
          <w:kern w:val="32"/>
          <w:sz w:val="28"/>
          <w:szCs w:val="28"/>
          <w:shd w:val="clear" w:color="auto" w:fill="ffff00"/>
          <w:lang w:val="en-US"/>
        </w:rPr>
      </w:pPr>
    </w:p>
    <w:p>
      <w:pPr>
        <w:pStyle w:val="Body"/>
        <w:rPr>
          <w:rFonts w:ascii="Arial" w:cs="Arial" w:hAnsi="Arial" w:eastAsia="Arial"/>
          <w:b w:val="1"/>
          <w:bCs w:val="1"/>
          <w:kern w:val="32"/>
          <w:sz w:val="28"/>
          <w:szCs w:val="28"/>
          <w:shd w:val="clear" w:color="auto" w:fill="ffff00"/>
          <w:lang w:val="en-US"/>
        </w:rPr>
      </w:pPr>
    </w:p>
    <w:p>
      <w:pPr>
        <w:pStyle w:val="Body"/>
        <w:rPr>
          <w:rFonts w:ascii="Arial" w:cs="Arial" w:hAnsi="Arial" w:eastAsia="Arial"/>
          <w:b w:val="1"/>
          <w:bCs w:val="1"/>
          <w:kern w:val="32"/>
          <w:sz w:val="28"/>
          <w:szCs w:val="28"/>
          <w:shd w:val="clear" w:color="auto" w:fill="ffff00"/>
          <w:lang w:val="en-US"/>
        </w:rPr>
      </w:pPr>
      <w:r>
        <w:rPr>
          <w:rFonts w:ascii="Arial" w:hAnsi="Arial"/>
          <w:b w:val="1"/>
          <w:bCs w:val="1"/>
          <w:kern w:val="32"/>
          <w:sz w:val="28"/>
          <w:szCs w:val="28"/>
          <w:shd w:val="clear" w:color="auto" w:fill="ffff00"/>
          <w:rtl w:val="0"/>
          <w:lang w:val="en-US"/>
        </w:rPr>
        <w:t>Draft written: 19 September 2018</w:t>
      </w:r>
    </w:p>
    <w:p>
      <w:pPr>
        <w:pStyle w:val="Body"/>
        <w:rPr>
          <w:rFonts w:ascii="Arial" w:cs="Arial" w:hAnsi="Arial" w:eastAsia="Arial"/>
          <w:b w:val="1"/>
          <w:bCs w:val="1"/>
          <w:kern w:val="32"/>
          <w:sz w:val="28"/>
          <w:szCs w:val="28"/>
          <w:shd w:val="clear" w:color="auto" w:fill="ffff00"/>
          <w:lang w:val="en-US"/>
        </w:rPr>
      </w:pPr>
    </w:p>
    <w:p>
      <w:pPr>
        <w:pStyle w:val="Body"/>
        <w:rPr>
          <w:rFonts w:ascii="Arial" w:cs="Arial" w:hAnsi="Arial" w:eastAsia="Arial"/>
          <w:b w:val="1"/>
          <w:bCs w:val="1"/>
          <w:kern w:val="32"/>
          <w:sz w:val="28"/>
          <w:szCs w:val="28"/>
          <w:shd w:val="clear" w:color="auto" w:fill="ffff00"/>
          <w:lang w:val="en-US"/>
        </w:rPr>
      </w:pPr>
      <w:r>
        <w:rPr>
          <w:rFonts w:ascii="Arial" w:hAnsi="Arial"/>
          <w:b w:val="1"/>
          <w:bCs w:val="1"/>
          <w:kern w:val="32"/>
          <w:sz w:val="28"/>
          <w:szCs w:val="28"/>
          <w:shd w:val="clear" w:color="auto" w:fill="ffff00"/>
          <w:rtl w:val="0"/>
          <w:lang w:val="en-US"/>
        </w:rPr>
        <w:t>Agreed by Directors: 30/09/2018</w:t>
      </w:r>
    </w:p>
    <w:p>
      <w:pPr>
        <w:pStyle w:val="Body"/>
        <w:rPr>
          <w:rFonts w:ascii="Arial" w:cs="Arial" w:hAnsi="Arial" w:eastAsia="Arial"/>
          <w:b w:val="1"/>
          <w:bCs w:val="1"/>
          <w:kern w:val="32"/>
          <w:sz w:val="28"/>
          <w:szCs w:val="28"/>
          <w:shd w:val="clear" w:color="auto" w:fill="ffff00"/>
          <w:lang w:val="en-US"/>
        </w:rPr>
      </w:pPr>
    </w:p>
    <w:p>
      <w:pPr>
        <w:pStyle w:val="Body"/>
        <w:rPr>
          <w:rFonts w:ascii="Arial" w:cs="Arial" w:hAnsi="Arial" w:eastAsia="Arial"/>
          <w:b w:val="1"/>
          <w:bCs w:val="1"/>
          <w:kern w:val="32"/>
          <w:sz w:val="28"/>
          <w:szCs w:val="28"/>
          <w:shd w:val="clear" w:color="auto" w:fill="ffff00"/>
          <w:lang w:val="en-US"/>
        </w:rPr>
      </w:pPr>
      <w:r>
        <w:rPr>
          <w:rFonts w:ascii="Arial" w:hAnsi="Arial"/>
          <w:b w:val="1"/>
          <w:bCs w:val="1"/>
          <w:kern w:val="32"/>
          <w:sz w:val="28"/>
          <w:szCs w:val="28"/>
          <w:shd w:val="clear" w:color="auto" w:fill="ffff00"/>
          <w:rtl w:val="0"/>
          <w:lang w:val="en-US"/>
        </w:rPr>
        <w:t>Reviewed 16 November 2021</w:t>
      </w:r>
    </w:p>
    <w:p>
      <w:pPr>
        <w:pStyle w:val="Body"/>
        <w:rPr>
          <w:rFonts w:ascii="Arial" w:cs="Arial" w:hAnsi="Arial" w:eastAsia="Arial"/>
          <w:b w:val="1"/>
          <w:bCs w:val="1"/>
          <w:kern w:val="32"/>
          <w:sz w:val="28"/>
          <w:szCs w:val="28"/>
          <w:shd w:val="clear" w:color="auto" w:fill="ffff00"/>
          <w:lang w:val="en-US"/>
        </w:rPr>
      </w:pPr>
    </w:p>
    <w:p>
      <w:pPr>
        <w:pStyle w:val="Body"/>
        <w:rPr>
          <w:rFonts w:ascii="Arial" w:cs="Arial" w:hAnsi="Arial" w:eastAsia="Arial"/>
          <w:b w:val="1"/>
          <w:bCs w:val="1"/>
          <w:kern w:val="32"/>
          <w:sz w:val="28"/>
          <w:szCs w:val="28"/>
        </w:rPr>
      </w:pPr>
      <w:r>
        <w:rPr>
          <w:rFonts w:ascii="Arial" w:hAnsi="Arial"/>
          <w:b w:val="1"/>
          <w:bCs w:val="1"/>
          <w:kern w:val="32"/>
          <w:sz w:val="28"/>
          <w:szCs w:val="28"/>
          <w:shd w:val="clear" w:color="auto" w:fill="ffff00"/>
          <w:rtl w:val="0"/>
          <w:lang w:val="en-US"/>
        </w:rPr>
        <w:t>Reviewed 14 October 2022</w:t>
      </w:r>
    </w:p>
    <w:p>
      <w:pPr>
        <w:pStyle w:val="Heading"/>
        <w:spacing w:before="0" w:after="0"/>
        <w:rPr>
          <w:rFonts w:ascii="Arial" w:cs="Arial" w:hAnsi="Arial" w:eastAsia="Arial"/>
          <w:sz w:val="28"/>
          <w:szCs w:val="28"/>
          <w:lang w:val="en-US"/>
        </w:rPr>
      </w:pPr>
    </w:p>
    <w:p>
      <w:pPr>
        <w:pStyle w:val="Body"/>
      </w:pPr>
      <w:r>
        <w:rPr>
          <w:rFonts w:ascii="Arial Unicode MS" w:cs="Arial Unicode MS" w:hAnsi="Arial Unicode MS" w:eastAsia="Arial Unicode MS"/>
          <w:b w:val="0"/>
          <w:bCs w:val="0"/>
          <w:i w:val="0"/>
          <w:iCs w:val="0"/>
          <w:kern w:val="32"/>
          <w:sz w:val="28"/>
          <w:szCs w:val="28"/>
          <w:lang w:val="en-US"/>
        </w:rPr>
        <w:br w:type="page"/>
      </w:r>
    </w:p>
    <w:p>
      <w:pPr>
        <w:pStyle w:val="Body"/>
        <w:rPr>
          <w:rFonts w:ascii="Arial" w:cs="Arial" w:hAnsi="Arial" w:eastAsia="Arial"/>
          <w:b w:val="1"/>
          <w:bCs w:val="1"/>
          <w:kern w:val="32"/>
          <w:sz w:val="28"/>
          <w:szCs w:val="28"/>
        </w:rPr>
      </w:pPr>
      <w:r>
        <w:rPr>
          <w:rFonts w:ascii="Arial" w:hAnsi="Arial"/>
          <w:b w:val="1"/>
          <w:bCs w:val="1"/>
          <w:kern w:val="32"/>
          <w:sz w:val="28"/>
          <w:szCs w:val="28"/>
          <w:rtl w:val="0"/>
          <w:lang w:val="en-US"/>
        </w:rPr>
        <w:t>Concern Reporting Procedure</w:t>
      </w:r>
    </w:p>
    <w:p>
      <w:pPr>
        <w:pStyle w:val="Body"/>
        <w:rPr>
          <w:rFonts w:ascii="Arial" w:cs="Arial" w:hAnsi="Arial" w:eastAsia="Arial"/>
          <w:b w:val="1"/>
          <w:bCs w:val="1"/>
          <w:sz w:val="28"/>
          <w:szCs w:val="28"/>
        </w:rPr>
      </w:pPr>
    </w:p>
    <w:p>
      <w:pPr>
        <w:pStyle w:val="Body"/>
        <w:rPr>
          <w:rFonts w:ascii="Arial" w:cs="Arial" w:hAnsi="Arial" w:eastAsia="Arial"/>
          <w:sz w:val="28"/>
          <w:szCs w:val="28"/>
        </w:rPr>
      </w:pPr>
      <w:r>
        <w:rPr>
          <w:rFonts w:ascii="Arial" w:hAnsi="Arial"/>
          <w:sz w:val="28"/>
          <w:szCs w:val="28"/>
          <w:rtl w:val="0"/>
          <w:lang w:val="en-US"/>
        </w:rPr>
        <w:t>Anyone who has concerns that they or someone else is being discriminated against or has been a victim of discriminatory language or behaviour should:</w:t>
      </w:r>
    </w:p>
    <w:p>
      <w:pPr>
        <w:pStyle w:val="Body"/>
        <w:rPr>
          <w:rFonts w:ascii="Arial" w:cs="Arial" w:hAnsi="Arial" w:eastAsia="Arial"/>
          <w:sz w:val="28"/>
          <w:szCs w:val="28"/>
          <w:lang w:val="en-US"/>
        </w:rPr>
      </w:pPr>
    </w:p>
    <w:tbl>
      <w:tblPr>
        <w:tblW w:w="1070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8"/>
        <w:gridCol w:w="4008"/>
        <w:gridCol w:w="4999"/>
      </w:tblGrid>
      <w:tr>
        <w:tblPrEx>
          <w:shd w:val="clear" w:color="auto" w:fill="ced7e7"/>
        </w:tblPrEx>
        <w:trPr>
          <w:trHeight w:val="790" w:hRule="atLeast"/>
        </w:trPr>
        <w:tc>
          <w:tcPr>
            <w:tcW w:type="dxa" w:w="1698"/>
            <w:tcBorders>
              <w:top w:val="nil"/>
              <w:left w:val="nil"/>
              <w:bottom w:val="nil"/>
              <w:right w:val="nil"/>
            </w:tcBorders>
            <w:shd w:val="clear" w:color="auto" w:fill="8db3e2"/>
            <w:tcMar>
              <w:top w:type="dxa" w:w="80"/>
              <w:left w:type="dxa" w:w="80"/>
              <w:bottom w:type="dxa" w:w="80"/>
              <w:right w:type="dxa" w:w="80"/>
            </w:tcMar>
            <w:vAlign w:val="top"/>
          </w:tcPr>
          <w:p>
            <w:pPr>
              <w:pStyle w:val="Body"/>
            </w:pPr>
            <w:r>
              <w:rPr>
                <w:rFonts w:ascii="Calibri" w:cs="Calibri" w:hAnsi="Calibri" w:eastAsia="Calibri"/>
                <w:b w:val="1"/>
                <w:bCs w:val="1"/>
                <w:sz w:val="22"/>
                <w:szCs w:val="22"/>
                <w:shd w:val="nil" w:color="auto" w:fill="auto"/>
                <w:rtl w:val="0"/>
                <w:lang w:val="en-US"/>
              </w:rPr>
              <w:t xml:space="preserve">Respond    </w:t>
            </w:r>
            <w:r>
              <w:rPr>
                <w:rFonts w:ascii="Calibri" w:cs="Calibri" w:hAnsi="Calibri" w:eastAsia="Calibri"/>
                <w:sz w:val="22"/>
                <w:szCs w:val="22"/>
                <w:shd w:val="nil" w:color="auto" w:fill="auto"/>
              </w:rPr>
            </w:r>
          </w:p>
        </w:tc>
        <w:tc>
          <w:tcPr>
            <w:tcW w:type="dxa" w:w="9007"/>
            <w:gridSpan w:val="2"/>
            <w:tcBorders>
              <w:top w:val="nil"/>
              <w:left w:val="nil"/>
              <w:bottom w:val="nil"/>
              <w:right w:val="nil"/>
            </w:tcBorders>
            <w:shd w:val="clear" w:color="auto" w:fill="8db3e2"/>
            <w:tcMar>
              <w:top w:type="dxa" w:w="80"/>
              <w:left w:type="dxa" w:w="80"/>
              <w:bottom w:type="dxa" w:w="80"/>
              <w:right w:type="dxa" w:w="80"/>
            </w:tcMar>
            <w:vAlign w:val="top"/>
          </w:tcPr>
          <w:p>
            <w:pPr>
              <w:pStyle w:val="Body"/>
            </w:pPr>
            <w:r>
              <w:rPr>
                <w:rFonts w:ascii="Calibri" w:cs="Calibri" w:hAnsi="Calibri" w:eastAsia="Calibri"/>
                <w:b w:val="0"/>
                <w:bCs w:val="0"/>
                <w:sz w:val="22"/>
                <w:szCs w:val="22"/>
                <w:shd w:val="nil" w:color="auto" w:fill="auto"/>
                <w:rtl w:val="0"/>
                <w:lang w:val="en-US"/>
              </w:rPr>
              <w:t>Listen carefully to what the person is telling you. Do not interrupt; keep questions to a minimum; do not promise to keep the information secret</w:t>
            </w:r>
            <w:r>
              <w:rPr>
                <w:rFonts w:ascii="Calibri" w:cs="Calibri" w:hAnsi="Calibri" w:eastAsia="Calibri"/>
                <w:b w:val="1"/>
                <w:bCs w:val="1"/>
                <w:sz w:val="22"/>
                <w:szCs w:val="22"/>
                <w:shd w:val="nil" w:color="auto" w:fill="auto"/>
              </w:rPr>
            </w:r>
          </w:p>
        </w:tc>
      </w:tr>
      <w:tr>
        <w:tblPrEx>
          <w:shd w:val="clear" w:color="auto" w:fill="ced7e7"/>
        </w:tblPrEx>
        <w:trPr>
          <w:trHeight w:val="4960" w:hRule="atLeast"/>
        </w:trPr>
        <w:tc>
          <w:tcPr>
            <w:tcW w:type="dxa" w:w="1698"/>
            <w:tcBorders>
              <w:top w:val="nil"/>
              <w:left w:val="nil"/>
              <w:bottom w:val="nil"/>
              <w:right w:val="nil"/>
            </w:tcBorders>
            <w:shd w:val="clear" w:color="auto" w:fill="f2dbdb"/>
            <w:tcMar>
              <w:top w:type="dxa" w:w="80"/>
              <w:left w:type="dxa" w:w="80"/>
              <w:bottom w:type="dxa" w:w="80"/>
              <w:right w:type="dxa" w:w="80"/>
            </w:tcMar>
            <w:vAlign w:val="top"/>
          </w:tcPr>
          <w:p>
            <w:pPr>
              <w:pStyle w:val="Body"/>
            </w:pPr>
            <w:r>
              <w:rPr>
                <w:rFonts w:ascii="Calibri" w:cs="Calibri" w:hAnsi="Calibri" w:eastAsia="Calibri"/>
                <w:b w:val="1"/>
                <w:bCs w:val="1"/>
                <w:sz w:val="22"/>
                <w:szCs w:val="22"/>
                <w:shd w:val="nil" w:color="auto" w:fill="auto"/>
                <w:rtl w:val="0"/>
                <w:lang w:val="en-US"/>
              </w:rPr>
              <w:t>Refer</w:t>
            </w:r>
            <w:r>
              <w:rPr>
                <w:rFonts w:ascii="Calibri" w:cs="Calibri" w:hAnsi="Calibri" w:eastAsia="Calibri"/>
                <w:sz w:val="22"/>
                <w:szCs w:val="22"/>
                <w:shd w:val="nil" w:color="auto" w:fill="auto"/>
              </w:rPr>
            </w:r>
          </w:p>
        </w:tc>
        <w:tc>
          <w:tcPr>
            <w:tcW w:type="dxa" w:w="4008"/>
            <w:tcBorders>
              <w:top w:val="nil"/>
              <w:left w:val="nil"/>
              <w:bottom w:val="nil"/>
              <w:right w:val="nil"/>
            </w:tcBorders>
            <w:shd w:val="clear" w:color="auto" w:fill="f2dbdb"/>
            <w:tcMar>
              <w:top w:type="dxa" w:w="80"/>
              <w:left w:type="dxa" w:w="80"/>
              <w:bottom w:type="dxa" w:w="80"/>
              <w:right w:type="dxa" w:w="80"/>
            </w:tcMar>
            <w:vAlign w:val="top"/>
          </w:tcPr>
          <w:p>
            <w:pPr>
              <w:pStyle w:val="Body"/>
              <w:rPr>
                <w:rFonts w:ascii="Calibri" w:cs="Calibri" w:hAnsi="Calibri" w:eastAsia="Calibri"/>
                <w:b w:val="1"/>
                <w:bCs w:val="1"/>
                <w:sz w:val="22"/>
                <w:szCs w:val="22"/>
                <w:shd w:val="nil" w:color="auto" w:fill="auto"/>
              </w:rPr>
            </w:pPr>
            <w:r>
              <w:rPr>
                <w:rFonts w:ascii="Calibri" w:cs="Calibri" w:hAnsi="Calibri" w:eastAsia="Calibri"/>
                <w:b w:val="1"/>
                <w:bCs w:val="1"/>
                <w:sz w:val="22"/>
                <w:szCs w:val="22"/>
                <w:shd w:val="nil" w:color="auto" w:fill="auto"/>
                <w:rtl w:val="0"/>
                <w:lang w:val="en-US"/>
              </w:rPr>
              <w:t>Is someone in immediate danger?</w:t>
            </w:r>
          </w:p>
          <w:p>
            <w:pPr>
              <w:pStyle w:val="Body"/>
              <w:bidi w:val="0"/>
              <w:ind w:left="0" w:right="0" w:firstLine="0"/>
              <w:jc w:val="left"/>
              <w:rPr>
                <w:rFonts w:ascii="Calibri" w:cs="Calibri" w:hAnsi="Calibri" w:eastAsia="Calibri"/>
                <w:b w:val="1"/>
                <w:bCs w:val="1"/>
                <w:sz w:val="22"/>
                <w:szCs w:val="22"/>
                <w:shd w:val="nil" w:color="auto" w:fill="auto"/>
                <w:rtl w:val="0"/>
              </w:rPr>
            </w:pPr>
            <w:r>
              <w:rPr>
                <w:rFonts w:ascii="Calibri" w:cs="Calibri" w:hAnsi="Calibri" w:eastAsia="Calibri"/>
                <w:b w:val="1"/>
                <w:bCs w:val="1"/>
                <w:sz w:val="22"/>
                <w:szCs w:val="22"/>
                <w:shd w:val="nil" w:color="auto" w:fill="auto"/>
                <w:rtl w:val="0"/>
                <w:lang w:val="en-US"/>
              </w:rPr>
              <w:t>YES</w:t>
            </w:r>
          </w:p>
          <w:p>
            <w:pPr>
              <w:pStyle w:val="Body"/>
              <w:bidi w:val="0"/>
              <w:ind w:left="0" w:right="0" w:firstLine="0"/>
              <w:jc w:val="left"/>
              <w:rPr>
                <w:rFonts w:ascii="Calibri" w:cs="Calibri" w:hAnsi="Calibri" w:eastAsia="Calibri"/>
                <w:sz w:val="22"/>
                <w:szCs w:val="22"/>
                <w:shd w:val="nil" w:color="auto" w:fill="auto"/>
                <w:rtl w:val="0"/>
              </w:rPr>
            </w:pPr>
            <w:r>
              <w:rPr>
                <w:rFonts w:ascii="Calibri" w:cs="Calibri" w:hAnsi="Calibri" w:eastAsia="Calibri"/>
                <w:sz w:val="22"/>
                <w:szCs w:val="22"/>
                <w:shd w:val="nil" w:color="auto" w:fill="auto"/>
                <w:rtl w:val="0"/>
                <w:lang w:val="en-US"/>
              </w:rPr>
              <w:t>Call the police (999)</w:t>
            </w:r>
          </w:p>
          <w:p>
            <w:pPr>
              <w:pStyle w:val="Body"/>
              <w:rPr>
                <w:rFonts w:ascii="Calibri" w:cs="Calibri" w:hAnsi="Calibri" w:eastAsia="Calibri"/>
                <w:sz w:val="22"/>
                <w:szCs w:val="22"/>
                <w:shd w:val="nil" w:color="auto" w:fill="auto"/>
                <w:lang w:val="en-US"/>
              </w:rPr>
            </w:pPr>
          </w:p>
          <w:p>
            <w:pPr>
              <w:pStyle w:val="Body"/>
              <w:bidi w:val="0"/>
              <w:ind w:left="0" w:right="0" w:firstLine="0"/>
              <w:jc w:val="left"/>
              <w:rPr>
                <w:rFonts w:ascii="Calibri" w:cs="Calibri" w:hAnsi="Calibri" w:eastAsia="Calibri"/>
                <w:b w:val="1"/>
                <w:bCs w:val="1"/>
                <w:sz w:val="22"/>
                <w:szCs w:val="22"/>
                <w:shd w:val="nil" w:color="auto" w:fill="auto"/>
                <w:rtl w:val="0"/>
              </w:rPr>
            </w:pPr>
            <w:r>
              <w:rPr>
                <w:rFonts w:ascii="Calibri" w:cs="Calibri" w:hAnsi="Calibri" w:eastAsia="Calibri"/>
                <w:b w:val="1"/>
                <w:bCs w:val="1"/>
                <w:sz w:val="22"/>
                <w:szCs w:val="22"/>
                <w:shd w:val="nil" w:color="auto" w:fill="auto"/>
                <w:rtl w:val="0"/>
                <w:lang w:val="en-US"/>
              </w:rPr>
              <w:t xml:space="preserve">THEN </w:t>
            </w:r>
          </w:p>
          <w:p>
            <w:pPr>
              <w:pStyle w:val="Body"/>
            </w:pPr>
            <w:r>
              <w:rPr>
                <w:rFonts w:ascii="Calibri" w:cs="Calibri" w:hAnsi="Calibri" w:eastAsia="Calibri"/>
                <w:b w:val="1"/>
                <w:bCs w:val="1"/>
                <w:sz w:val="22"/>
                <w:szCs w:val="22"/>
                <w:shd w:val="nil" w:color="auto" w:fill="auto"/>
                <w:lang w:val="en-US"/>
              </w:rPr>
            </w:r>
          </w:p>
        </w:tc>
        <w:tc>
          <w:tcPr>
            <w:tcW w:type="dxa" w:w="4999"/>
            <w:tcBorders>
              <w:top w:val="nil"/>
              <w:left w:val="nil"/>
              <w:bottom w:val="nil"/>
              <w:right w:val="nil"/>
            </w:tcBorders>
            <w:shd w:val="clear" w:color="auto" w:fill="f2dbdb"/>
            <w:tcMar>
              <w:top w:type="dxa" w:w="80"/>
              <w:left w:type="dxa" w:w="80"/>
              <w:bottom w:type="dxa" w:w="80"/>
              <w:right w:type="dxa" w:w="80"/>
            </w:tcMar>
            <w:vAlign w:val="top"/>
          </w:tcPr>
          <w:p>
            <w:pPr>
              <w:pStyle w:val="Body"/>
              <w:jc w:val="right"/>
              <w:rPr>
                <w:rFonts w:ascii="Calibri" w:cs="Calibri" w:hAnsi="Calibri" w:eastAsia="Calibri"/>
                <w:b w:val="1"/>
                <w:bCs w:val="1"/>
                <w:sz w:val="22"/>
                <w:szCs w:val="22"/>
                <w:shd w:val="nil" w:color="auto" w:fill="auto"/>
                <w:lang w:val="en-US"/>
              </w:rPr>
            </w:pPr>
          </w:p>
          <w:p>
            <w:pPr>
              <w:pStyle w:val="Body"/>
              <w:bidi w:val="0"/>
              <w:ind w:left="0" w:right="0" w:firstLine="0"/>
              <w:jc w:val="left"/>
              <w:rPr>
                <w:rFonts w:ascii="Calibri" w:cs="Calibri" w:hAnsi="Calibri" w:eastAsia="Calibri"/>
                <w:b w:val="1"/>
                <w:bCs w:val="1"/>
                <w:sz w:val="22"/>
                <w:szCs w:val="22"/>
                <w:shd w:val="nil" w:color="auto" w:fill="auto"/>
                <w:rtl w:val="0"/>
              </w:rPr>
            </w:pPr>
            <w:r>
              <w:rPr>
                <w:rFonts w:ascii="Calibri" w:cs="Calibri" w:hAnsi="Calibri" w:eastAsia="Calibri"/>
                <w:b w:val="1"/>
                <w:bCs w:val="1"/>
                <w:sz w:val="22"/>
                <w:szCs w:val="22"/>
                <w:shd w:val="nil" w:color="auto" w:fill="auto"/>
                <w:rtl w:val="0"/>
                <w:lang w:val="en-US"/>
              </w:rPr>
              <w:t>NO</w:t>
            </w:r>
          </w:p>
          <w:p>
            <w:pPr>
              <w:pStyle w:val="Body"/>
              <w:bidi w:val="0"/>
              <w:ind w:left="0" w:right="0" w:firstLine="0"/>
              <w:jc w:val="left"/>
              <w:rPr>
                <w:rFonts w:ascii="Calibri" w:cs="Calibri" w:hAnsi="Calibri" w:eastAsia="Calibri"/>
                <w:sz w:val="22"/>
                <w:szCs w:val="22"/>
                <w:shd w:val="clear" w:color="auto" w:fill="ffff00"/>
                <w:rtl w:val="0"/>
                <w:lang w:val="en-US"/>
              </w:rPr>
            </w:pPr>
            <w:r>
              <w:rPr>
                <w:rFonts w:ascii="Calibri" w:cs="Calibri" w:hAnsi="Calibri" w:eastAsia="Calibri"/>
                <w:sz w:val="22"/>
                <w:szCs w:val="22"/>
                <w:shd w:val="nil" w:color="auto" w:fill="auto"/>
                <w:rtl w:val="0"/>
                <w:lang w:val="en-US"/>
              </w:rPr>
              <w:t>Talk to the club</w:t>
            </w:r>
            <w:r>
              <w:rPr>
                <w:rFonts w:ascii="Calibri" w:cs="Calibri" w:hAnsi="Calibri" w:eastAsia="Calibri"/>
                <w:sz w:val="22"/>
                <w:szCs w:val="22"/>
                <w:shd w:val="nil" w:color="auto" w:fill="auto"/>
                <w:rtl w:val="0"/>
                <w:lang w:val="en-US"/>
              </w:rPr>
              <w:t>’</w:t>
            </w:r>
            <w:r>
              <w:rPr>
                <w:rFonts w:ascii="Calibri" w:cs="Calibri" w:hAnsi="Calibri" w:eastAsia="Calibri"/>
                <w:sz w:val="22"/>
                <w:szCs w:val="22"/>
                <w:shd w:val="nil" w:color="auto" w:fill="auto"/>
                <w:rtl w:val="0"/>
                <w:lang w:val="en-US"/>
              </w:rPr>
              <w:t>s Welfare Officer</w:t>
            </w:r>
            <w:r>
              <w:rPr>
                <w:rFonts w:ascii="Calibri" w:cs="Calibri" w:hAnsi="Calibri" w:eastAsia="Calibri"/>
                <w:sz w:val="22"/>
                <w:szCs w:val="22"/>
                <w:shd w:val="nil" w:color="auto" w:fill="auto"/>
                <w:rtl w:val="0"/>
                <w:lang w:val="en-US"/>
              </w:rPr>
              <w:t xml:space="preserve"> in</w:t>
            </w:r>
            <w:r>
              <w:rPr>
                <w:rFonts w:ascii="Calibri" w:cs="Calibri" w:hAnsi="Calibri" w:eastAsia="Calibri"/>
                <w:sz w:val="22"/>
                <w:szCs w:val="22"/>
                <w:shd w:val="nil" w:color="auto" w:fill="auto"/>
                <w:rtl w:val="0"/>
                <w:lang w:val="en-US"/>
              </w:rPr>
              <w:t xml:space="preserve"> confidence </w:t>
            </w:r>
          </w:p>
          <w:p>
            <w:pPr>
              <w:pStyle w:val="Body"/>
              <w:bidi w:val="0"/>
              <w:ind w:left="0" w:right="0" w:firstLine="0"/>
              <w:jc w:val="left"/>
              <w:rPr>
                <w:rFonts w:ascii="Calibri" w:cs="Calibri" w:hAnsi="Calibri" w:eastAsia="Calibri"/>
                <w:sz w:val="22"/>
                <w:szCs w:val="22"/>
                <w:shd w:val="clear" w:color="auto" w:fill="ffff00"/>
                <w:rtl w:val="0"/>
                <w:lang w:val="en-US"/>
              </w:rPr>
            </w:pPr>
            <w:r>
              <w:rPr>
                <w:rFonts w:ascii="Calibri" w:cs="Calibri" w:hAnsi="Calibri" w:eastAsia="Calibri"/>
                <w:sz w:val="22"/>
                <w:szCs w:val="22"/>
                <w:shd w:val="clear" w:color="auto" w:fill="ffff00"/>
                <w:rtl w:val="0"/>
                <w:lang w:val="en-US"/>
              </w:rPr>
              <w:t>Kenneth Ritchie</w:t>
            </w:r>
          </w:p>
          <w:p>
            <w:pPr>
              <w:pStyle w:val="Body"/>
              <w:bidi w:val="0"/>
              <w:ind w:left="0" w:right="0" w:firstLine="0"/>
              <w:jc w:val="left"/>
              <w:rPr>
                <w:rFonts w:ascii="Calibri" w:cs="Calibri" w:hAnsi="Calibri" w:eastAsia="Calibri"/>
                <w:sz w:val="22"/>
                <w:szCs w:val="22"/>
                <w:shd w:val="clear" w:color="auto" w:fill="ffff00"/>
                <w:rtl w:val="0"/>
                <w:lang w:val="en-US"/>
              </w:rPr>
            </w:pPr>
            <w:r>
              <w:rPr>
                <w:rFonts w:ascii="Calibri" w:cs="Calibri" w:hAnsi="Calibri" w:eastAsia="Calibri"/>
                <w:sz w:val="22"/>
                <w:szCs w:val="22"/>
                <w:shd w:val="clear" w:color="auto" w:fill="ffff00"/>
                <w:rtl w:val="0"/>
                <w:lang w:val="en-US"/>
              </w:rPr>
              <w:t>welfareofficer.kenny@accessibletennis.co.uk</w:t>
            </w:r>
          </w:p>
          <w:p>
            <w:pPr>
              <w:pStyle w:val="Body"/>
              <w:bidi w:val="0"/>
              <w:ind w:left="0" w:right="0" w:firstLine="0"/>
              <w:jc w:val="left"/>
              <w:rPr>
                <w:rFonts w:ascii="Calibri" w:cs="Calibri" w:hAnsi="Calibri" w:eastAsia="Calibri"/>
                <w:sz w:val="22"/>
                <w:szCs w:val="22"/>
                <w:shd w:val="clear" w:color="auto" w:fill="ffff00"/>
                <w:rtl w:val="0"/>
                <w:lang w:val="en-US"/>
              </w:rPr>
            </w:pPr>
          </w:p>
          <w:p>
            <w:pPr>
              <w:pStyle w:val="Body"/>
              <w:bidi w:val="0"/>
              <w:ind w:left="0" w:right="0" w:firstLine="0"/>
              <w:jc w:val="left"/>
              <w:rPr>
                <w:rFonts w:ascii="Calibri" w:cs="Calibri" w:hAnsi="Calibri" w:eastAsia="Calibri"/>
                <w:sz w:val="22"/>
                <w:szCs w:val="22"/>
                <w:shd w:val="nil" w:color="auto" w:fill="auto"/>
                <w:rtl w:val="0"/>
              </w:rPr>
            </w:pPr>
            <w:r>
              <w:rPr>
                <w:rFonts w:ascii="Calibri" w:cs="Calibri" w:hAnsi="Calibri" w:eastAsia="Calibri"/>
                <w:sz w:val="22"/>
                <w:szCs w:val="22"/>
                <w:shd w:val="nil" w:color="auto" w:fill="auto"/>
                <w:rtl w:val="0"/>
                <w:lang w:val="en-US"/>
              </w:rPr>
              <w:t>; Talk to the LTA Safeguarding Team * (020 8487 7000) as soon as possible [Mon-Fri, 9am-5pm]. If the Safeguarding Team is unavailable and you want advice before the next working day, call the NSPCC (0808 800 5000) or Parent Line Scotland (0800 028 2233) if your concern</w:t>
            </w:r>
            <w:r>
              <w:rPr>
                <w:rFonts w:ascii="Calibri" w:cs="Calibri" w:hAnsi="Calibri" w:eastAsia="Calibri"/>
                <w:strike w:val="1"/>
                <w:dstrike w:val="0"/>
                <w:sz w:val="22"/>
                <w:szCs w:val="22"/>
                <w:shd w:val="nil" w:color="auto" w:fill="auto"/>
                <w:rtl w:val="0"/>
                <w:lang w:val="en-US"/>
              </w:rPr>
              <w:t>s</w:t>
            </w:r>
            <w:r>
              <w:rPr>
                <w:rFonts w:ascii="Calibri" w:cs="Calibri" w:hAnsi="Calibri" w:eastAsia="Calibri"/>
                <w:sz w:val="22"/>
                <w:szCs w:val="22"/>
                <w:shd w:val="nil" w:color="auto" w:fill="auto"/>
                <w:rtl w:val="0"/>
                <w:lang w:val="en-US"/>
              </w:rPr>
              <w:t xml:space="preserve"> is about a child.</w:t>
            </w:r>
          </w:p>
          <w:p>
            <w:pPr>
              <w:pStyle w:val="Body"/>
              <w:bidi w:val="0"/>
              <w:ind w:left="0" w:right="0" w:firstLine="0"/>
              <w:jc w:val="left"/>
              <w:rPr>
                <w:rFonts w:ascii="Calibri" w:cs="Calibri" w:hAnsi="Calibri" w:eastAsia="Calibri"/>
                <w:sz w:val="22"/>
                <w:szCs w:val="22"/>
                <w:shd w:val="nil" w:color="auto" w:fill="auto"/>
                <w:rtl w:val="0"/>
              </w:rPr>
            </w:pPr>
            <w:r>
              <w:rPr>
                <w:rFonts w:ascii="Calibri" w:cs="Calibri" w:hAnsi="Calibri" w:eastAsia="Calibri"/>
                <w:sz w:val="22"/>
                <w:szCs w:val="22"/>
                <w:shd w:val="nil" w:color="auto" w:fill="auto"/>
                <w:rtl w:val="0"/>
                <w:lang w:val="en-US"/>
              </w:rPr>
              <w:t xml:space="preserve">If your concern us about an adult ask them for details of your Local Authority Adult Social Care Services. </w:t>
            </w:r>
          </w:p>
          <w:p>
            <w:pPr>
              <w:pStyle w:val="Body"/>
              <w:rPr>
                <w:rFonts w:ascii="Calibri" w:cs="Calibri" w:hAnsi="Calibri" w:eastAsia="Calibri"/>
                <w:sz w:val="12"/>
                <w:szCs w:val="12"/>
                <w:shd w:val="nil" w:color="auto" w:fill="auto"/>
                <w:lang w:val="en-US"/>
              </w:rPr>
            </w:pPr>
          </w:p>
          <w:p>
            <w:pPr>
              <w:pStyle w:val="Body"/>
              <w:bidi w:val="0"/>
              <w:ind w:left="0" w:right="0" w:firstLine="0"/>
              <w:jc w:val="left"/>
              <w:rPr>
                <w:rFonts w:ascii="Calibri" w:cs="Calibri" w:hAnsi="Calibri" w:eastAsia="Calibri"/>
                <w:outline w:val="0"/>
                <w:color w:val="0000ff"/>
                <w:sz w:val="22"/>
                <w:szCs w:val="22"/>
                <w:u w:val="single" w:color="0000ff"/>
                <w:shd w:val="nil" w:color="auto" w:fill="auto"/>
                <w:rtl w:val="0"/>
                <w14:textFill>
                  <w14:solidFill>
                    <w14:srgbClr w14:val="0000FF"/>
                  </w14:solidFill>
                </w14:textFill>
              </w:rPr>
            </w:pPr>
            <w:r>
              <w:rPr>
                <w:rFonts w:ascii="Calibri" w:cs="Calibri" w:hAnsi="Calibri" w:eastAsia="Calibri"/>
                <w:outline w:val="0"/>
                <w:color w:val="000000"/>
                <w:sz w:val="22"/>
                <w:szCs w:val="22"/>
                <w:u w:val="none" w:color="000000"/>
                <w:shd w:val="nil" w:color="auto" w:fill="auto"/>
                <w:rtl w:val="0"/>
                <w:lang w:val="en-US"/>
                <w14:textFill>
                  <w14:solidFill>
                    <w14:srgbClr w14:val="000000"/>
                  </w14:solidFill>
                </w14:textFill>
              </w:rPr>
              <w:t xml:space="preserve">Hate crime can alternatively be reported through True Vision at </w:t>
            </w:r>
            <w:r>
              <w:rPr>
                <w:rStyle w:val="Hyperlink.0"/>
                <w:rFonts w:ascii="Calibri" w:cs="Calibri" w:hAnsi="Calibri" w:eastAsia="Calibri"/>
                <w:outline w:val="0"/>
                <w:color w:val="0000ff"/>
                <w:sz w:val="22"/>
                <w:szCs w:val="22"/>
                <w:u w:val="single" w:color="0000ff"/>
                <w14:textFill>
                  <w14:solidFill>
                    <w14:srgbClr w14:val="0000FF"/>
                  </w14:solidFill>
                </w14:textFill>
              </w:rPr>
              <w:fldChar w:fldCharType="begin" w:fldLock="0"/>
            </w:r>
            <w:r>
              <w:rPr>
                <w:rStyle w:val="Hyperlink.0"/>
                <w:rFonts w:ascii="Calibri" w:cs="Calibri" w:hAnsi="Calibri" w:eastAsia="Calibri"/>
                <w:outline w:val="0"/>
                <w:color w:val="0000ff"/>
                <w:sz w:val="22"/>
                <w:szCs w:val="22"/>
                <w:u w:val="single" w:color="0000ff"/>
                <w14:textFill>
                  <w14:solidFill>
                    <w14:srgbClr w14:val="0000FF"/>
                  </w14:solidFill>
                </w14:textFill>
              </w:rPr>
              <w:instrText xml:space="preserve"> HYPERLINK "http://www.report-it.org.uk"</w:instrText>
            </w:r>
            <w:r>
              <w:rPr>
                <w:rStyle w:val="Hyperlink.0"/>
                <w:rFonts w:ascii="Calibri" w:cs="Calibri" w:hAnsi="Calibri" w:eastAsia="Calibri"/>
                <w:outline w:val="0"/>
                <w:color w:val="0000ff"/>
                <w:sz w:val="22"/>
                <w:szCs w:val="22"/>
                <w:u w:val="single" w:color="0000ff"/>
                <w14:textFill>
                  <w14:solidFill>
                    <w14:srgbClr w14:val="0000FF"/>
                  </w14:solidFill>
                </w14:textFill>
              </w:rPr>
              <w:fldChar w:fldCharType="separate" w:fldLock="0"/>
            </w:r>
            <w:r>
              <w:rPr>
                <w:rStyle w:val="Hyperlink.0"/>
                <w:rFonts w:ascii="Calibri" w:cs="Calibri" w:hAnsi="Calibri" w:eastAsia="Calibri"/>
                <w:outline w:val="0"/>
                <w:color w:val="0000ff"/>
                <w:sz w:val="22"/>
                <w:szCs w:val="22"/>
                <w:u w:val="single" w:color="0000ff"/>
                <w:rtl w:val="0"/>
                <w:lang w:val="en-US"/>
                <w14:textFill>
                  <w14:solidFill>
                    <w14:srgbClr w14:val="0000FF"/>
                  </w14:solidFill>
                </w14:textFill>
              </w:rPr>
              <w:t>www.report-it.org.uk</w:t>
            </w:r>
            <w:r>
              <w:rPr>
                <w:rFonts w:ascii="Calibri" w:cs="Calibri" w:hAnsi="Calibri" w:eastAsia="Calibri"/>
                <w:outline w:val="0"/>
                <w:color w:val="0000ff"/>
                <w:sz w:val="22"/>
                <w:szCs w:val="22"/>
                <w:u w:val="single" w:color="0000ff"/>
                <w14:textFill>
                  <w14:solidFill>
                    <w14:srgbClr w14:val="0000FF"/>
                  </w14:solidFill>
                </w14:textFill>
              </w:rPr>
              <w:fldChar w:fldCharType="end" w:fldLock="0"/>
            </w:r>
          </w:p>
          <w:p>
            <w:pPr>
              <w:pStyle w:val="Body"/>
            </w:pPr>
            <w:r>
              <w:rPr>
                <w:rStyle w:val="Link"/>
                <w:rFonts w:ascii="Calibri" w:cs="Calibri" w:hAnsi="Calibri" w:eastAsia="Calibri"/>
                <w:sz w:val="22"/>
                <w:szCs w:val="22"/>
                <w:shd w:val="nil" w:color="auto" w:fill="auto"/>
                <w:lang w:val="en-US"/>
              </w:rPr>
            </w:r>
          </w:p>
        </w:tc>
      </w:tr>
      <w:tr>
        <w:tblPrEx>
          <w:shd w:val="clear" w:color="auto" w:fill="ced7e7"/>
        </w:tblPrEx>
        <w:trPr>
          <w:trHeight w:val="1700" w:hRule="atLeast"/>
        </w:trPr>
        <w:tc>
          <w:tcPr>
            <w:tcW w:type="dxa" w:w="1698"/>
            <w:tcBorders>
              <w:top w:val="nil"/>
              <w:left w:val="nil"/>
              <w:bottom w:val="nil"/>
              <w:right w:val="nil"/>
            </w:tcBorders>
            <w:shd w:val="clear" w:color="auto" w:fill="8db3e2"/>
            <w:tcMar>
              <w:top w:type="dxa" w:w="80"/>
              <w:left w:type="dxa" w:w="80"/>
              <w:bottom w:type="dxa" w:w="80"/>
              <w:right w:type="dxa" w:w="80"/>
            </w:tcMar>
            <w:vAlign w:val="top"/>
          </w:tcPr>
          <w:p>
            <w:pPr>
              <w:pStyle w:val="Body"/>
            </w:pPr>
            <w:r>
              <w:rPr>
                <w:rFonts w:ascii="Calibri" w:cs="Calibri" w:hAnsi="Calibri" w:eastAsia="Calibri"/>
                <w:b w:val="1"/>
                <w:bCs w:val="1"/>
                <w:sz w:val="22"/>
                <w:szCs w:val="22"/>
                <w:shd w:val="nil" w:color="auto" w:fill="auto"/>
                <w:rtl w:val="0"/>
                <w:lang w:val="en-US"/>
              </w:rPr>
              <w:t>Record</w:t>
            </w:r>
            <w:r>
              <w:rPr>
                <w:rFonts w:ascii="Calibri" w:cs="Calibri" w:hAnsi="Calibri" w:eastAsia="Calibri"/>
                <w:b w:val="1"/>
                <w:bCs w:val="1"/>
                <w:sz w:val="22"/>
                <w:szCs w:val="22"/>
                <w:shd w:val="nil" w:color="auto" w:fill="auto"/>
              </w:rPr>
            </w:r>
          </w:p>
        </w:tc>
        <w:tc>
          <w:tcPr>
            <w:tcW w:type="dxa" w:w="9007"/>
            <w:gridSpan w:val="2"/>
            <w:tcBorders>
              <w:top w:val="nil"/>
              <w:left w:val="nil"/>
              <w:bottom w:val="nil"/>
              <w:right w:val="nil"/>
            </w:tcBorders>
            <w:shd w:val="clear" w:color="auto" w:fill="8db3e2"/>
            <w:tcMar>
              <w:top w:type="dxa" w:w="80"/>
              <w:left w:type="dxa" w:w="80"/>
              <w:bottom w:type="dxa" w:w="80"/>
              <w:right w:type="dxa" w:w="80"/>
            </w:tcMar>
            <w:vAlign w:val="top"/>
          </w:tcPr>
          <w:p>
            <w:pPr>
              <w:pStyle w:val="Body"/>
              <w:rPr>
                <w:rFonts w:ascii="Calibri" w:cs="Calibri" w:hAnsi="Calibri" w:eastAsia="Calibri"/>
                <w:sz w:val="22"/>
                <w:szCs w:val="22"/>
                <w:shd w:val="nil" w:color="auto" w:fill="auto"/>
              </w:rPr>
            </w:pPr>
            <w:r>
              <w:rPr>
                <w:rFonts w:ascii="Calibri" w:cs="Calibri" w:hAnsi="Calibri" w:eastAsia="Calibri"/>
                <w:sz w:val="22"/>
                <w:szCs w:val="22"/>
                <w:shd w:val="nil" w:color="auto" w:fill="auto"/>
                <w:rtl w:val="0"/>
                <w:lang w:val="en-US"/>
              </w:rPr>
              <w:t xml:space="preserve">Write an objective account of your concerns immediately using the Reporting a Concern </w:t>
            </w:r>
            <w:r>
              <w:rPr>
                <w:rFonts w:ascii="Calibri" w:cs="Calibri" w:hAnsi="Calibri" w:eastAsia="Calibri"/>
                <w:sz w:val="22"/>
                <w:szCs w:val="22"/>
                <w:shd w:val="clear" w:color="auto" w:fill="8db3e2"/>
                <w:rtl w:val="0"/>
                <w:lang w:val="en-US"/>
              </w:rPr>
              <w:t xml:space="preserve">Form found on the </w:t>
            </w: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"https://www.lta.org.uk/about-the-lta/policies-and-rules/safeguarding-protection/"</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safeguarding page</w:t>
            </w:r>
            <w:r>
              <w:rPr>
                <w:rFonts w:ascii="Calibri" w:cs="Calibri" w:hAnsi="Calibri" w:eastAsia="Calibri"/>
                <w:sz w:val="22"/>
                <w:szCs w:val="22"/>
              </w:rPr>
              <w:fldChar w:fldCharType="end" w:fldLock="0"/>
            </w:r>
            <w:r>
              <w:rPr>
                <w:rFonts w:ascii="Calibri" w:cs="Calibri" w:hAnsi="Calibri" w:eastAsia="Calibri"/>
                <w:sz w:val="22"/>
                <w:szCs w:val="22"/>
                <w:shd w:val="clear" w:color="auto" w:fill="8db3e2"/>
                <w:rtl w:val="0"/>
                <w:lang w:val="en-US"/>
              </w:rPr>
              <w:t>. S</w:t>
            </w:r>
            <w:r>
              <w:rPr>
                <w:rFonts w:ascii="Calibri" w:cs="Calibri" w:hAnsi="Calibri" w:eastAsia="Calibri"/>
                <w:sz w:val="22"/>
                <w:szCs w:val="22"/>
                <w:shd w:val="nil" w:color="auto" w:fill="auto"/>
                <w:rtl w:val="0"/>
                <w:lang w:val="en-US"/>
              </w:rPr>
              <w:t>end it to the Safeguarding Team within 48 hours of the concern/disclosure (</w:t>
            </w:r>
            <w:r>
              <w:rPr>
                <w:rStyle w:val="Hyperlink.0"/>
                <w:rFonts w:ascii="Calibri" w:cs="Calibri" w:hAnsi="Calibri" w:eastAsia="Calibri"/>
                <w:sz w:val="22"/>
                <w:szCs w:val="22"/>
              </w:rPr>
              <w:fldChar w:fldCharType="begin" w:fldLock="0"/>
            </w:r>
            <w:r>
              <w:rPr>
                <w:rStyle w:val="Hyperlink.0"/>
                <w:rFonts w:ascii="Calibri" w:cs="Calibri" w:hAnsi="Calibri" w:eastAsia="Calibri"/>
                <w:sz w:val="22"/>
                <w:szCs w:val="22"/>
              </w:rPr>
              <w:instrText xml:space="preserve"> HYPERLINK "mailto:safeguarding@lta.org.uk"</w:instrText>
            </w:r>
            <w:r>
              <w:rPr>
                <w:rStyle w:val="Hyperlink.0"/>
                <w:rFonts w:ascii="Calibri" w:cs="Calibri" w:hAnsi="Calibri" w:eastAsia="Calibri"/>
                <w:sz w:val="22"/>
                <w:szCs w:val="22"/>
              </w:rPr>
              <w:fldChar w:fldCharType="separate" w:fldLock="0"/>
            </w:r>
            <w:r>
              <w:rPr>
                <w:rStyle w:val="Hyperlink.0"/>
                <w:rFonts w:ascii="Calibri" w:cs="Calibri" w:hAnsi="Calibri" w:eastAsia="Calibri"/>
                <w:sz w:val="22"/>
                <w:szCs w:val="22"/>
                <w:rtl w:val="0"/>
                <w:lang w:val="en-US"/>
              </w:rPr>
              <w:t>safeguarding@lta.org.uk</w:t>
            </w:r>
            <w:r>
              <w:rPr>
                <w:rFonts w:ascii="Calibri" w:cs="Calibri" w:hAnsi="Calibri" w:eastAsia="Calibri"/>
                <w:sz w:val="22"/>
                <w:szCs w:val="22"/>
              </w:rPr>
              <w:fldChar w:fldCharType="end" w:fldLock="0"/>
            </w:r>
            <w:r>
              <w:rPr>
                <w:rStyle w:val="Hyperlink.0"/>
                <w:rFonts w:ascii="Calibri" w:cs="Calibri" w:hAnsi="Calibri" w:eastAsia="Calibri"/>
                <w:sz w:val="22"/>
                <w:szCs w:val="22"/>
                <w:rtl w:val="0"/>
                <w:lang w:val="en-US"/>
              </w:rPr>
              <w:t>)</w:t>
            </w:r>
            <w:r>
              <w:rPr>
                <w:rFonts w:ascii="Calibri" w:cs="Calibri" w:hAnsi="Calibri" w:eastAsia="Calibri"/>
                <w:sz w:val="22"/>
                <w:szCs w:val="22"/>
                <w:shd w:val="nil" w:color="auto" w:fill="auto"/>
                <w:rtl w:val="0"/>
                <w:lang w:val="en-US"/>
              </w:rPr>
              <w:t xml:space="preserve"> </w:t>
            </w:r>
          </w:p>
          <w:p>
            <w:pPr>
              <w:pStyle w:val="Body"/>
              <w:rPr>
                <w:rFonts w:ascii="Calibri" w:cs="Calibri" w:hAnsi="Calibri" w:eastAsia="Calibri"/>
                <w:sz w:val="22"/>
                <w:szCs w:val="22"/>
                <w:shd w:val="nil" w:color="auto" w:fill="auto"/>
                <w:lang w:val="en-US"/>
              </w:rPr>
            </w:pPr>
          </w:p>
          <w:p>
            <w:pPr>
              <w:pStyle w:val="Body"/>
              <w:bidi w:val="0"/>
              <w:ind w:left="0" w:right="0" w:firstLine="0"/>
              <w:jc w:val="left"/>
              <w:rPr>
                <w:rtl w:val="0"/>
              </w:rPr>
            </w:pPr>
            <w:r>
              <w:rPr>
                <w:rFonts w:ascii="Calibri" w:cs="Calibri" w:hAnsi="Calibri" w:eastAsia="Calibri"/>
                <w:sz w:val="22"/>
                <w:szCs w:val="22"/>
                <w:shd w:val="nil" w:color="auto" w:fill="auto"/>
                <w:rtl w:val="0"/>
                <w:lang w:val="en-US"/>
              </w:rPr>
              <w:t xml:space="preserve">Handling a concern/disclosure can be emotionally difficult. If you would like to talk to someone after making a concern/disclosure, contact the LTA Safeguarding Team by phone 020 8487 7000 or email  </w:t>
            </w:r>
            <w:r>
              <w:rPr>
                <w:rStyle w:val="Hyperlink.0"/>
                <w:rFonts w:ascii="Calibri" w:cs="Calibri" w:hAnsi="Calibri" w:eastAsia="Calibri"/>
                <w:sz w:val="22"/>
                <w:szCs w:val="22"/>
              </w:rPr>
              <w:fldChar w:fldCharType="begin" w:fldLock="0"/>
            </w:r>
            <w:r>
              <w:rPr>
                <w:rStyle w:val="Hyperlink.0"/>
                <w:rFonts w:ascii="Calibri" w:cs="Calibri" w:hAnsi="Calibri" w:eastAsia="Calibri"/>
                <w:sz w:val="22"/>
                <w:szCs w:val="22"/>
              </w:rPr>
              <w:instrText xml:space="preserve"> HYPERLINK "mailto:safeguarding@lta.org.uk"</w:instrText>
            </w:r>
            <w:r>
              <w:rPr>
                <w:rStyle w:val="Hyperlink.0"/>
                <w:rFonts w:ascii="Calibri" w:cs="Calibri" w:hAnsi="Calibri" w:eastAsia="Calibri"/>
                <w:sz w:val="22"/>
                <w:szCs w:val="22"/>
              </w:rPr>
              <w:fldChar w:fldCharType="separate" w:fldLock="0"/>
            </w:r>
            <w:r>
              <w:rPr>
                <w:rStyle w:val="Hyperlink.0"/>
                <w:rFonts w:ascii="Calibri" w:cs="Calibri" w:hAnsi="Calibri" w:eastAsia="Calibri"/>
                <w:sz w:val="22"/>
                <w:szCs w:val="22"/>
                <w:rtl w:val="0"/>
                <w:lang w:val="en-US"/>
              </w:rPr>
              <w:t>safeguarding@lta.org.uk</w:t>
            </w:r>
            <w:r>
              <w:rPr>
                <w:rFonts w:ascii="Calibri" w:cs="Calibri" w:hAnsi="Calibri" w:eastAsia="Calibri"/>
                <w:sz w:val="22"/>
                <w:szCs w:val="22"/>
              </w:rPr>
              <w:fldChar w:fldCharType="end" w:fldLock="0"/>
            </w:r>
          </w:p>
        </w:tc>
      </w:tr>
    </w:tbl>
    <w:p>
      <w:pPr>
        <w:pStyle w:val="Body"/>
        <w:widowControl w:val="0"/>
        <w:rPr>
          <w:rFonts w:ascii="Arial" w:cs="Arial" w:hAnsi="Arial" w:eastAsia="Arial"/>
          <w:sz w:val="28"/>
          <w:szCs w:val="28"/>
          <w:lang w:val="en-US"/>
        </w:rPr>
      </w:pP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sz w:val="28"/>
          <w:szCs w:val="28"/>
          <w:rtl w:val="0"/>
          <w:lang w:val="en-US"/>
        </w:rPr>
        <w:t xml:space="preserve">Tennis Wales Safeguarding Lead (029 2046 3335) </w:t>
      </w:r>
    </w:p>
    <w:p>
      <w:pPr>
        <w:pStyle w:val="Body"/>
        <w:rPr>
          <w:rFonts w:ascii="Arial" w:cs="Arial" w:hAnsi="Arial" w:eastAsia="Arial"/>
          <w:sz w:val="28"/>
          <w:szCs w:val="28"/>
        </w:rPr>
      </w:pPr>
      <w:r>
        <w:rPr>
          <w:rFonts w:ascii="Arial" w:hAnsi="Arial"/>
          <w:sz w:val="28"/>
          <w:szCs w:val="28"/>
          <w:rtl w:val="0"/>
          <w:lang w:val="en-US"/>
        </w:rPr>
        <w:t>Tennis Scotland Safeguarding Lead (0131 444 4154).</w:t>
      </w:r>
      <w:r>
        <w:rPr>
          <w:rFonts w:ascii="Arial" w:hAnsi="Arial"/>
          <w:b w:val="1"/>
          <w:bCs w:val="1"/>
          <w:sz w:val="28"/>
          <w:szCs w:val="28"/>
          <w:rtl w:val="0"/>
          <w:lang w:val="en-US"/>
        </w:rPr>
        <w:t xml:space="preserve"> </w:t>
      </w:r>
    </w:p>
    <w:p>
      <w:pPr>
        <w:pStyle w:val="Body"/>
        <w:rPr>
          <w:rFonts w:ascii="Arial" w:cs="Arial" w:hAnsi="Arial" w:eastAsia="Arial"/>
          <w:b w:val="1"/>
          <w:bCs w:val="1"/>
          <w:sz w:val="28"/>
          <w:szCs w:val="28"/>
          <w:lang w:val="en-US"/>
        </w:rPr>
      </w:pPr>
    </w:p>
    <w:p>
      <w:pPr>
        <w:pStyle w:val="Body"/>
      </w:pPr>
      <w:r>
        <w:rPr>
          <w:rFonts w:ascii="Arial" w:hAnsi="Arial"/>
          <w:sz w:val="28"/>
          <w:szCs w:val="28"/>
          <w:rtl w:val="0"/>
          <w:lang w:val="en-US"/>
        </w:rPr>
        <w:t>(See appendix C for more details on what to do if a disclosure from a child or adult at risk is made to you)</w:t>
      </w:r>
      <w:r>
        <w:rPr>
          <w:rFonts w:ascii="Arial Unicode MS" w:cs="Arial Unicode MS" w:hAnsi="Arial Unicode MS" w:eastAsia="Arial Unicode MS"/>
          <w:b w:val="0"/>
          <w:bCs w:val="0"/>
          <w:i w:val="0"/>
          <w:iCs w:val="0"/>
          <w:sz w:val="28"/>
          <w:szCs w:val="28"/>
          <w:lang w:val="en-US"/>
        </w:rPr>
        <w:br w:type="page"/>
      </w:r>
    </w:p>
    <w:p>
      <w:pPr>
        <w:pStyle w:val="Body"/>
        <w:rPr>
          <w:rFonts w:ascii="Arial" w:cs="Arial" w:hAnsi="Arial" w:eastAsia="Arial"/>
          <w:b w:val="1"/>
          <w:bCs w:val="1"/>
          <w:sz w:val="28"/>
          <w:szCs w:val="28"/>
        </w:rPr>
      </w:pPr>
      <w:r>
        <w:rPr>
          <w:rFonts w:ascii="Arial" w:hAnsi="Arial"/>
          <w:b w:val="1"/>
          <w:bCs w:val="1"/>
          <w:sz w:val="28"/>
          <w:szCs w:val="28"/>
          <w:rtl w:val="0"/>
          <w:lang w:val="en-US"/>
        </w:rPr>
        <w:t xml:space="preserve">Diversity and Inclusion in </w:t>
      </w:r>
      <w:r>
        <w:rPr>
          <w:rFonts w:ascii="Arial" w:hAnsi="Arial"/>
          <w:b w:val="1"/>
          <w:bCs w:val="1"/>
          <w:sz w:val="28"/>
          <w:szCs w:val="28"/>
          <w:shd w:val="clear" w:color="auto" w:fill="ffff00"/>
          <w:rtl w:val="0"/>
          <w:lang w:val="en-US"/>
        </w:rPr>
        <w:t>Accessible Tennis CIC</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This Policy sets out our commitment and includes our Safe and Inclusive Standards, Code of Conduct (page 8) and Reporting Procedure (page 2) and it supports our overall aims for diversity and inclusion that are to ensure that:</w:t>
      </w:r>
    </w:p>
    <w:p>
      <w:pPr>
        <w:pStyle w:val="Body"/>
        <w:rPr>
          <w:rFonts w:ascii="Arial" w:cs="Arial" w:hAnsi="Arial" w:eastAsia="Arial"/>
          <w:sz w:val="28"/>
          <w:szCs w:val="28"/>
          <w:lang w:val="en-US"/>
        </w:rPr>
      </w:pPr>
    </w:p>
    <w:p>
      <w:pPr>
        <w:pStyle w:val="List Paragraph"/>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Tennis is diverse and inclusive </w:t>
      </w:r>
    </w:p>
    <w:p>
      <w:pPr>
        <w:pStyle w:val="List Paragraph"/>
        <w:numPr>
          <w:ilvl w:val="0"/>
          <w:numId w:val="2"/>
        </w:numPr>
        <w:bidi w:val="0"/>
        <w:ind w:right="0"/>
        <w:jc w:val="left"/>
        <w:rPr>
          <w:rFonts w:ascii="Arial" w:hAnsi="Arial"/>
          <w:sz w:val="28"/>
          <w:szCs w:val="28"/>
          <w:rtl w:val="0"/>
          <w:lang w:val="en-US"/>
        </w:rPr>
      </w:pPr>
      <w:r>
        <w:rPr>
          <w:rFonts w:ascii="Arial" w:hAnsi="Arial"/>
          <w:sz w:val="28"/>
          <w:szCs w:val="28"/>
          <w:rtl w:val="0"/>
          <w:lang w:val="en-US"/>
        </w:rPr>
        <w:t>Diversity and inclusion are embedded in our club</w:t>
      </w:r>
      <w:r>
        <w:rPr>
          <w:rFonts w:ascii="Arial" w:hAnsi="Arial" w:hint="default"/>
          <w:sz w:val="28"/>
          <w:szCs w:val="28"/>
          <w:rtl w:val="0"/>
          <w:lang w:val="en-US"/>
        </w:rPr>
        <w:t>’</w:t>
      </w:r>
      <w:r>
        <w:rPr>
          <w:rFonts w:ascii="Arial" w:hAnsi="Arial"/>
          <w:sz w:val="28"/>
          <w:szCs w:val="28"/>
          <w:rtl w:val="0"/>
          <w:lang w:val="en-US"/>
        </w:rPr>
        <w:t>s culture and our behaviours</w:t>
      </w:r>
    </w:p>
    <w:p>
      <w:pPr>
        <w:pStyle w:val="List Paragraph"/>
        <w:numPr>
          <w:ilvl w:val="0"/>
          <w:numId w:val="2"/>
        </w:numPr>
        <w:bidi w:val="0"/>
        <w:ind w:right="0"/>
        <w:jc w:val="left"/>
        <w:rPr>
          <w:rFonts w:ascii="Arial" w:hAnsi="Arial"/>
          <w:sz w:val="28"/>
          <w:szCs w:val="28"/>
          <w:rtl w:val="0"/>
          <w:lang w:val="en-US"/>
        </w:rPr>
      </w:pPr>
      <w:r>
        <w:rPr>
          <w:rFonts w:ascii="Arial" w:hAnsi="Arial"/>
          <w:sz w:val="28"/>
          <w:szCs w:val="28"/>
          <w:rtl w:val="0"/>
          <w:lang w:val="en-US"/>
        </w:rPr>
        <w:t>We create a culture where inclusive leadership thrives</w:t>
      </w:r>
    </w:p>
    <w:p>
      <w:pPr>
        <w:pStyle w:val="List Paragraph"/>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We take a proactive approach using positive action to ensure that communities and individuals are valued and able to achieve their full potential. </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 xml:space="preserve">To achieve these aims we believe that everyone involved in Tennis has a vital role to play in promoting diversity and inclusion and we ask everyone to become Safe and Inclusive Tennis Champions </w:t>
      </w:r>
      <w:r>
        <w:rPr>
          <w:rFonts w:ascii="Arial" w:hAnsi="Arial" w:hint="default"/>
          <w:sz w:val="28"/>
          <w:szCs w:val="28"/>
          <w:rtl w:val="0"/>
          <w:lang w:val="en-US"/>
        </w:rPr>
        <w:t xml:space="preserve">– </w:t>
      </w:r>
      <w:r>
        <w:rPr>
          <w:rFonts w:ascii="Arial" w:hAnsi="Arial"/>
          <w:sz w:val="28"/>
          <w:szCs w:val="28"/>
          <w:rtl w:val="0"/>
          <w:lang w:val="en-US"/>
        </w:rPr>
        <w:t>proactively promoting Safe and Inclusive tennis and taking action against all forms of discrimination.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We are proud to have a Diversity and Inclusion Policy that demonstrates our commitment to making tennis diverse and inclusive. The commitment to Diversity and Inclusion is upheld by all - Lawn Tennis Association (LTA), Tennis Scotland, Tennis Wales and the Tennis Foundation.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 xml:space="preserve">These commitments are fully supported by the </w:t>
      </w:r>
      <w:r>
        <w:rPr>
          <w:rFonts w:ascii="Arial" w:hAnsi="Arial"/>
          <w:sz w:val="28"/>
          <w:szCs w:val="28"/>
          <w:shd w:val="clear" w:color="auto" w:fill="ffff00"/>
          <w:rtl w:val="0"/>
          <w:lang w:val="en-US"/>
        </w:rPr>
        <w:t>Accessible Tennis CIC</w:t>
      </w:r>
      <w:r>
        <w:rPr>
          <w:rFonts w:ascii="Arial" w:hAnsi="Arial"/>
          <w:sz w:val="28"/>
          <w:szCs w:val="28"/>
          <w:rtl w:val="0"/>
        </w:rPr>
        <w:t xml:space="preserve"> Committee.</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Together we can make a positive difference to people from different backgrounds to participate in Tennis at our club.</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Thank you.</w:t>
      </w:r>
    </w:p>
    <w:p>
      <w:pPr>
        <w:pStyle w:val="Body"/>
      </w:pPr>
      <w:r>
        <w:rPr>
          <w:rFonts w:ascii="Arial Unicode MS" w:cs="Arial Unicode MS" w:hAnsi="Arial Unicode MS" w:eastAsia="Arial Unicode MS"/>
          <w:b w:val="0"/>
          <w:bCs w:val="0"/>
          <w:i w:val="0"/>
          <w:iCs w:val="0"/>
          <w:sz w:val="28"/>
          <w:szCs w:val="28"/>
          <w:lang w:val="en-US"/>
        </w:rPr>
        <w:br w:type="page"/>
      </w:r>
    </w:p>
    <w:p>
      <w:pPr>
        <w:pStyle w:val="Body"/>
        <w:rPr>
          <w:rFonts w:ascii="Arial" w:cs="Arial" w:hAnsi="Arial" w:eastAsia="Arial"/>
          <w:b w:val="1"/>
          <w:bCs w:val="1"/>
          <w:sz w:val="28"/>
          <w:szCs w:val="28"/>
        </w:rPr>
      </w:pPr>
      <w:r>
        <w:rPr>
          <w:rFonts w:ascii="Arial" w:hAnsi="Arial"/>
          <w:b w:val="1"/>
          <w:bCs w:val="1"/>
          <w:sz w:val="28"/>
          <w:szCs w:val="28"/>
          <w:rtl w:val="0"/>
          <w:lang w:val="en-US"/>
        </w:rPr>
        <w:t>Diversity and Inclusion Policy</w:t>
      </w:r>
    </w:p>
    <w:p>
      <w:pPr>
        <w:pStyle w:val="Body"/>
        <w:rPr>
          <w:rFonts w:ascii="Arial" w:cs="Arial" w:hAnsi="Arial" w:eastAsia="Arial"/>
          <w:b w:val="1"/>
          <w:bCs w:val="1"/>
          <w:sz w:val="28"/>
          <w:szCs w:val="28"/>
          <w:lang w:val="en-US"/>
        </w:rPr>
      </w:pPr>
    </w:p>
    <w:p>
      <w:pPr>
        <w:pStyle w:val="List Paragraph"/>
        <w:numPr>
          <w:ilvl w:val="0"/>
          <w:numId w:val="4"/>
        </w:numPr>
        <w:bidi w:val="0"/>
        <w:ind w:right="0"/>
        <w:jc w:val="left"/>
        <w:rPr>
          <w:rFonts w:ascii="Arial" w:hAnsi="Arial"/>
          <w:b w:val="1"/>
          <w:bCs w:val="1"/>
          <w:sz w:val="28"/>
          <w:szCs w:val="28"/>
          <w:rtl w:val="0"/>
          <w:lang w:val="en-US"/>
        </w:rPr>
      </w:pPr>
      <w:r>
        <w:rPr>
          <w:rFonts w:ascii="Arial" w:hAnsi="Arial"/>
          <w:b w:val="1"/>
          <w:bCs w:val="1"/>
          <w:sz w:val="28"/>
          <w:szCs w:val="28"/>
          <w:rtl w:val="0"/>
          <w:lang w:val="en-US"/>
        </w:rPr>
        <w:t xml:space="preserve">Policy Statement </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 xml:space="preserve">This Diversity and Inclusion Policy, Standards, Code of Conduct and Reporting Procedure are applicable to </w:t>
      </w:r>
      <w:r>
        <w:rPr>
          <w:rFonts w:ascii="Arial" w:hAnsi="Arial"/>
          <w:b w:val="1"/>
          <w:bCs w:val="1"/>
          <w:sz w:val="28"/>
          <w:szCs w:val="28"/>
          <w:shd w:val="clear" w:color="auto" w:fill="ffff00"/>
          <w:rtl w:val="0"/>
          <w:lang w:val="en-US"/>
        </w:rPr>
        <w:t>Accessible Tennis CIC</w:t>
      </w:r>
      <w:r>
        <w:rPr>
          <w:rFonts w:ascii="Arial" w:hAnsi="Arial"/>
          <w:sz w:val="28"/>
          <w:szCs w:val="28"/>
          <w:rtl w:val="0"/>
          <w:lang w:val="en-US"/>
        </w:rPr>
        <w:t xml:space="preserve"> and is based on similar policies of:</w:t>
      </w:r>
    </w:p>
    <w:p>
      <w:pPr>
        <w:pStyle w:val="Body"/>
        <w:rPr>
          <w:rFonts w:ascii="Arial" w:cs="Arial" w:hAnsi="Arial" w:eastAsia="Arial"/>
          <w:sz w:val="28"/>
          <w:szCs w:val="28"/>
          <w:lang w:val="en-US"/>
        </w:rPr>
      </w:pPr>
    </w:p>
    <w:p>
      <w:pPr>
        <w:pStyle w:val="List Paragraph"/>
        <w:numPr>
          <w:ilvl w:val="0"/>
          <w:numId w:val="6"/>
        </w:numPr>
        <w:bidi w:val="0"/>
        <w:ind w:right="0"/>
        <w:jc w:val="left"/>
        <w:rPr>
          <w:rFonts w:ascii="Arial" w:hAnsi="Arial"/>
          <w:sz w:val="28"/>
          <w:szCs w:val="28"/>
          <w:rtl w:val="0"/>
          <w:lang w:val="en-US"/>
        </w:rPr>
      </w:pPr>
      <w:r>
        <w:rPr>
          <w:rFonts w:ascii="Arial" w:hAnsi="Arial"/>
          <w:sz w:val="28"/>
          <w:szCs w:val="28"/>
          <w:rtl w:val="0"/>
          <w:lang w:val="en-US"/>
        </w:rPr>
        <w:t>The Lawn Tennis Association (LTA)</w:t>
      </w:r>
    </w:p>
    <w:p>
      <w:pPr>
        <w:pStyle w:val="List Paragraph"/>
        <w:numPr>
          <w:ilvl w:val="0"/>
          <w:numId w:val="6"/>
        </w:numPr>
        <w:bidi w:val="0"/>
        <w:ind w:right="0"/>
        <w:jc w:val="left"/>
        <w:rPr>
          <w:rFonts w:ascii="Arial" w:hAnsi="Arial"/>
          <w:sz w:val="28"/>
          <w:szCs w:val="28"/>
          <w:rtl w:val="0"/>
          <w:lang w:val="en-US"/>
        </w:rPr>
      </w:pPr>
      <w:r>
        <w:rPr>
          <w:rFonts w:ascii="Arial" w:hAnsi="Arial"/>
          <w:sz w:val="28"/>
          <w:szCs w:val="28"/>
          <w:rtl w:val="0"/>
          <w:lang w:val="en-US"/>
        </w:rPr>
        <w:t>Tennis Scotland</w:t>
      </w:r>
    </w:p>
    <w:p>
      <w:pPr>
        <w:pStyle w:val="List Paragraph"/>
        <w:numPr>
          <w:ilvl w:val="0"/>
          <w:numId w:val="6"/>
        </w:numPr>
        <w:bidi w:val="0"/>
        <w:ind w:right="0"/>
        <w:jc w:val="left"/>
        <w:rPr>
          <w:rFonts w:ascii="Arial" w:hAnsi="Arial"/>
          <w:sz w:val="28"/>
          <w:szCs w:val="28"/>
          <w:rtl w:val="0"/>
          <w:lang w:val="en-US"/>
        </w:rPr>
      </w:pPr>
      <w:r>
        <w:rPr>
          <w:rFonts w:ascii="Arial" w:hAnsi="Arial"/>
          <w:sz w:val="28"/>
          <w:szCs w:val="28"/>
          <w:rtl w:val="0"/>
          <w:lang w:val="en-US"/>
        </w:rPr>
        <w:t>Tennis Wales</w:t>
      </w:r>
    </w:p>
    <w:p>
      <w:pPr>
        <w:pStyle w:val="List Paragraph"/>
        <w:numPr>
          <w:ilvl w:val="0"/>
          <w:numId w:val="6"/>
        </w:numPr>
        <w:bidi w:val="0"/>
        <w:ind w:right="0"/>
        <w:jc w:val="left"/>
        <w:rPr>
          <w:rFonts w:ascii="Arial" w:hAnsi="Arial"/>
          <w:sz w:val="28"/>
          <w:szCs w:val="28"/>
          <w:rtl w:val="0"/>
          <w:lang w:val="en-US"/>
        </w:rPr>
      </w:pPr>
      <w:r>
        <w:rPr>
          <w:rFonts w:ascii="Arial" w:hAnsi="Arial"/>
          <w:sz w:val="28"/>
          <w:szCs w:val="28"/>
          <w:rtl w:val="0"/>
          <w:lang w:val="en-US"/>
        </w:rPr>
        <w:t>The Tennis Foundation.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As a club we contribute actively to enable more people to play tennis more often, in a manner that it is safe, inclusive, and fair. This applies regardless of a person</w:t>
      </w:r>
      <w:r>
        <w:rPr>
          <w:rFonts w:ascii="Arial" w:hAnsi="Arial" w:hint="default"/>
          <w:sz w:val="28"/>
          <w:szCs w:val="28"/>
          <w:rtl w:val="0"/>
          <w:lang w:val="en-US"/>
        </w:rPr>
        <w:t>’</w:t>
      </w:r>
      <w:r>
        <w:rPr>
          <w:rFonts w:ascii="Arial" w:hAnsi="Arial"/>
          <w:sz w:val="28"/>
          <w:szCs w:val="28"/>
          <w:rtl w:val="0"/>
          <w:lang w:val="en-US"/>
        </w:rPr>
        <w:t xml:space="preserve">s </w:t>
      </w:r>
      <w:r>
        <w:rPr>
          <w:rFonts w:ascii="Arial" w:hAnsi="Arial"/>
          <w:sz w:val="28"/>
          <w:szCs w:val="28"/>
          <w:rtl w:val="0"/>
          <w:lang w:val="en-US"/>
        </w:rPr>
        <w:t>age, disability, gender reassignment status, sex, marital or civil partnership status, pregnancy or maternity, race, sex, sexual orientation, religion, race or sexual orientation, socio-economic status or any other background.</w:t>
      </w:r>
      <w:r>
        <w:rPr>
          <w:rFonts w:ascii="Arial" w:hAnsi="Arial"/>
          <w:sz w:val="28"/>
          <w:szCs w:val="28"/>
          <w:rtl w:val="0"/>
          <w:lang w:val="en-US"/>
        </w:rPr>
        <w:t xml:space="preserve"> </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 xml:space="preserve">We recognise that many concerns and/or disclosures may have both safeguarding and diversity and inclusion elements to them. This policy reflects this through its reporting procedures, which replicate the safeguarding concern reporting procedures.  </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This Policy strives to minimise risk and support our venue, programmes, events and individuals to deliver and experience a positive tennis experience for everyone. The Reporting Procedures in page 2 outlines how to respond to safeguarding or discrimination concerns/disclosures.</w:t>
      </w:r>
    </w:p>
    <w:p>
      <w:pPr>
        <w:pStyle w:val="Body"/>
        <w:rPr>
          <w:rFonts w:ascii="Arial" w:cs="Arial" w:hAnsi="Arial" w:eastAsia="Arial"/>
          <w:b w:val="1"/>
          <w:bCs w:val="1"/>
          <w:sz w:val="28"/>
          <w:szCs w:val="28"/>
        </w:rPr>
      </w:pPr>
    </w:p>
    <w:p>
      <w:pPr>
        <w:pStyle w:val="List Paragraph"/>
        <w:numPr>
          <w:ilvl w:val="0"/>
          <w:numId w:val="7"/>
        </w:numPr>
        <w:bidi w:val="0"/>
        <w:ind w:right="0"/>
        <w:jc w:val="left"/>
        <w:rPr>
          <w:rFonts w:ascii="Arial" w:hAnsi="Arial"/>
          <w:b w:val="1"/>
          <w:bCs w:val="1"/>
          <w:sz w:val="28"/>
          <w:szCs w:val="28"/>
          <w:rtl w:val="0"/>
          <w:lang w:val="en-US"/>
        </w:rPr>
      </w:pPr>
      <w:r>
        <w:rPr>
          <w:rFonts w:ascii="Arial" w:hAnsi="Arial"/>
          <w:b w:val="1"/>
          <w:bCs w:val="1"/>
          <w:sz w:val="28"/>
          <w:szCs w:val="28"/>
          <w:rtl w:val="0"/>
          <w:lang w:val="en-US"/>
        </w:rPr>
        <w:t>Use of Terminology</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 xml:space="preserve">We have adopted the following definitions to explain our </w:t>
      </w:r>
      <w:r>
        <w:rPr>
          <w:rFonts w:ascii="Arial" w:hAnsi="Arial"/>
          <w:sz w:val="28"/>
          <w:szCs w:val="28"/>
          <w:rtl w:val="0"/>
          <w:lang w:val="en-US"/>
        </w:rPr>
        <w:t>approach to diversity and inclusion in tennis:</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 xml:space="preserve">Discrimination </w:t>
      </w:r>
      <w:r>
        <w:rPr>
          <w:rFonts w:ascii="Arial" w:hAnsi="Arial" w:hint="default"/>
          <w:sz w:val="28"/>
          <w:szCs w:val="28"/>
          <w:rtl w:val="0"/>
          <w:lang w:val="en-US"/>
        </w:rPr>
        <w:t>–</w:t>
      </w:r>
      <w:r>
        <w:rPr>
          <w:rFonts w:ascii="Arial" w:hAnsi="Arial"/>
          <w:b w:val="1"/>
          <w:bCs w:val="1"/>
          <w:sz w:val="28"/>
          <w:szCs w:val="28"/>
          <w:rtl w:val="0"/>
          <w:lang w:val="en-US"/>
        </w:rPr>
        <w:t xml:space="preserve"> </w:t>
      </w:r>
      <w:r>
        <w:rPr>
          <w:rFonts w:ascii="Arial" w:hAnsi="Arial"/>
          <w:sz w:val="28"/>
          <w:szCs w:val="28"/>
          <w:rtl w:val="0"/>
          <w:lang w:val="en-US"/>
        </w:rPr>
        <w:t>treating someone in a less favourable way and causing them harm, because of their age, disability, gender reassignment, marriage or civil partnership, pregnancy or maternity, race, religion or belief, sex or sexual orientation</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 xml:space="preserve">Diversity </w:t>
      </w:r>
      <w:r>
        <w:rPr>
          <w:rFonts w:ascii="Arial" w:hAnsi="Arial" w:hint="default"/>
          <w:sz w:val="28"/>
          <w:szCs w:val="28"/>
          <w:rtl w:val="0"/>
          <w:lang w:val="en-US"/>
        </w:rPr>
        <w:t xml:space="preserve">– </w:t>
      </w:r>
      <w:r>
        <w:rPr>
          <w:rFonts w:ascii="Arial" w:hAnsi="Arial"/>
          <w:sz w:val="28"/>
          <w:szCs w:val="28"/>
          <w:rtl w:val="0"/>
          <w:lang w:val="en-US"/>
        </w:rPr>
        <w:t>acknowledging, celebrating and respecting the differences between groups of people and between individuals. We will work to ensure that people can be</w:t>
      </w:r>
      <w:r>
        <w:rPr>
          <w:rFonts w:ascii="Arial" w:hAnsi="Arial"/>
          <w:sz w:val="28"/>
          <w:szCs w:val="28"/>
          <w:rtl w:val="0"/>
          <w:lang w:val="en-US"/>
        </w:rPr>
        <w:t xml:space="preserve"> assured of an environment in which their rights, dignity and individual worth are respected, and in particular that they are able to enjoy their sport without the threat of intimidation, </w:t>
      </w:r>
      <w:r>
        <w:rPr>
          <w:rFonts w:ascii="Arial" w:hAnsi="Arial"/>
          <w:sz w:val="28"/>
          <w:szCs w:val="28"/>
          <w:rtl w:val="0"/>
          <w:lang w:val="en-US"/>
        </w:rPr>
        <w:t>victimisation</w:t>
      </w:r>
      <w:r>
        <w:rPr>
          <w:rFonts w:ascii="Arial" w:hAnsi="Arial"/>
          <w:sz w:val="28"/>
          <w:szCs w:val="28"/>
          <w:rtl w:val="0"/>
          <w:lang w:val="en-US"/>
        </w:rPr>
        <w:t>, harassment or abuse.</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 xml:space="preserve">Harassment </w:t>
      </w:r>
      <w:r>
        <w:rPr>
          <w:rFonts w:ascii="Arial" w:hAnsi="Arial" w:hint="default"/>
          <w:sz w:val="28"/>
          <w:szCs w:val="28"/>
          <w:rtl w:val="0"/>
          <w:lang w:val="en-US"/>
        </w:rPr>
        <w:t>–</w:t>
      </w:r>
      <w:r>
        <w:rPr>
          <w:rFonts w:ascii="Arial" w:hAnsi="Arial"/>
          <w:b w:val="1"/>
          <w:bCs w:val="1"/>
          <w:sz w:val="28"/>
          <w:szCs w:val="28"/>
          <w:rtl w:val="0"/>
          <w:lang w:val="en-US"/>
        </w:rPr>
        <w:t xml:space="preserve"> </w:t>
      </w:r>
      <w:r>
        <w:rPr>
          <w:rFonts w:ascii="Arial" w:hAnsi="Arial"/>
          <w:sz w:val="28"/>
          <w:szCs w:val="28"/>
          <w:rtl w:val="0"/>
          <w:lang w:val="en-US"/>
        </w:rPr>
        <w:t>unwanted conduct related to a relevant protected characteristic, which has the purpose or effect of violating an individual</w:t>
      </w:r>
      <w:r>
        <w:rPr>
          <w:rFonts w:ascii="Arial" w:hAnsi="Arial" w:hint="default"/>
          <w:sz w:val="28"/>
          <w:szCs w:val="28"/>
          <w:rtl w:val="0"/>
          <w:lang w:val="en-US"/>
        </w:rPr>
        <w:t>’</w:t>
      </w:r>
      <w:r>
        <w:rPr>
          <w:rFonts w:ascii="Arial" w:hAnsi="Arial"/>
          <w:sz w:val="28"/>
          <w:szCs w:val="28"/>
          <w:rtl w:val="0"/>
          <w:lang w:val="en-US"/>
        </w:rPr>
        <w:t>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pPr>
        <w:pStyle w:val="Body"/>
        <w:tabs>
          <w:tab w:val="left" w:pos="360"/>
        </w:tabs>
        <w:rPr>
          <w:rFonts w:ascii="Arial" w:cs="Arial" w:hAnsi="Arial" w:eastAsia="Arial"/>
          <w:b w:val="1"/>
          <w:bCs w:val="1"/>
          <w:sz w:val="28"/>
          <w:szCs w:val="28"/>
        </w:rPr>
      </w:pPr>
    </w:p>
    <w:p>
      <w:pPr>
        <w:pStyle w:val="Body"/>
        <w:tabs>
          <w:tab w:val="left" w:pos="360"/>
        </w:tabs>
        <w:rPr>
          <w:rFonts w:ascii="Arial" w:cs="Arial" w:hAnsi="Arial" w:eastAsia="Arial"/>
          <w:sz w:val="28"/>
          <w:szCs w:val="28"/>
        </w:rPr>
      </w:pPr>
      <w:r>
        <w:rPr>
          <w:rFonts w:ascii="Arial" w:hAnsi="Arial"/>
          <w:b w:val="1"/>
          <w:bCs w:val="1"/>
          <w:sz w:val="28"/>
          <w:szCs w:val="28"/>
          <w:rtl w:val="0"/>
        </w:rPr>
        <w:t>Inclusion</w:t>
      </w:r>
      <w:r>
        <w:rPr>
          <w:rFonts w:ascii="Arial" w:hAnsi="Arial" w:hint="default"/>
          <w:sz w:val="28"/>
          <w:szCs w:val="28"/>
          <w:rtl w:val="0"/>
        </w:rPr>
        <w:t xml:space="preserve"> –</w:t>
      </w:r>
      <w:r>
        <w:rPr>
          <w:rFonts w:ascii="Arial" w:hAnsi="Arial"/>
          <w:b w:val="1"/>
          <w:bCs w:val="1"/>
          <w:sz w:val="28"/>
          <w:szCs w:val="28"/>
          <w:rtl w:val="0"/>
        </w:rPr>
        <w:t xml:space="preserve"> </w:t>
      </w:r>
      <w:r>
        <w:rPr>
          <w:rFonts w:ascii="Arial" w:hAnsi="Arial"/>
          <w:sz w:val="28"/>
          <w:szCs w:val="28"/>
          <w:rtl w:val="0"/>
          <w:lang w:val="en-US"/>
        </w:rPr>
        <w:t>ensuring that tennis is equally accessible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 that they feel respected and valued and are not singled out, with regard to their age, disability, gender reassignment status, sex, marital or civil partnership status, pregnancy or maternity, race, sex, sexual orientation, religion, race or sexual orientation, socio-economic status or any other background.</w:t>
      </w:r>
    </w:p>
    <w:p>
      <w:pPr>
        <w:pStyle w:val="Body"/>
        <w:tabs>
          <w:tab w:val="left" w:pos="360"/>
        </w:tabs>
        <w:rPr>
          <w:rFonts w:ascii="Arial" w:cs="Arial" w:hAnsi="Arial" w:eastAsia="Arial"/>
          <w:sz w:val="28"/>
          <w:szCs w:val="28"/>
        </w:rPr>
      </w:pPr>
    </w:p>
    <w:p>
      <w:pPr>
        <w:pStyle w:val="Body"/>
        <w:rPr>
          <w:rFonts w:ascii="Arial" w:cs="Arial" w:hAnsi="Arial" w:eastAsia="Arial"/>
          <w:sz w:val="28"/>
          <w:szCs w:val="28"/>
        </w:rPr>
      </w:pPr>
      <w:r>
        <w:rPr>
          <w:rFonts w:ascii="Arial" w:hAnsi="Arial"/>
          <w:b w:val="1"/>
          <w:bCs w:val="1"/>
          <w:sz w:val="28"/>
          <w:szCs w:val="28"/>
          <w:rtl w:val="0"/>
          <w:lang w:val="fr-FR"/>
        </w:rPr>
        <w:t>Positive action</w:t>
      </w:r>
      <w:r>
        <w:rPr>
          <w:rFonts w:ascii="Arial" w:hAnsi="Arial" w:hint="default"/>
          <w:sz w:val="28"/>
          <w:szCs w:val="28"/>
          <w:rtl w:val="0"/>
        </w:rPr>
        <w:t xml:space="preserve"> – </w:t>
      </w:r>
      <w:r>
        <w:rPr>
          <w:rFonts w:ascii="Arial" w:hAnsi="Arial"/>
          <w:sz w:val="28"/>
          <w:szCs w:val="28"/>
          <w:shd w:val="clear" w:color="auto" w:fill="ffff00"/>
          <w:rtl w:val="0"/>
          <w:lang w:val="en-US"/>
        </w:rPr>
        <w:t>Accessible Tennis CIC</w:t>
      </w:r>
      <w:r>
        <w:rPr>
          <w:rFonts w:ascii="Arial" w:hAnsi="Arial"/>
          <w:sz w:val="28"/>
          <w:szCs w:val="28"/>
          <w:rtl w:val="0"/>
          <w:lang w:val="en-US"/>
        </w:rPr>
        <w:t xml:space="preserve"> is committed to taking positive steps to counteract the effects of physical or cultural barriers </w:t>
      </w:r>
      <w:r>
        <w:rPr>
          <w:rFonts w:ascii="Arial" w:hAnsi="Arial" w:hint="default"/>
          <w:sz w:val="28"/>
          <w:szCs w:val="28"/>
          <w:rtl w:val="0"/>
        </w:rPr>
        <w:t xml:space="preserve">– </w:t>
      </w:r>
      <w:r>
        <w:rPr>
          <w:rFonts w:ascii="Arial" w:hAnsi="Arial"/>
          <w:sz w:val="28"/>
          <w:szCs w:val="28"/>
          <w:rtl w:val="0"/>
          <w:lang w:val="en-US"/>
        </w:rPr>
        <w:t xml:space="preserve">whether real or perceived </w:t>
      </w:r>
      <w:r>
        <w:rPr>
          <w:rFonts w:ascii="Arial" w:hAnsi="Arial" w:hint="default"/>
          <w:sz w:val="28"/>
          <w:szCs w:val="28"/>
          <w:rtl w:val="0"/>
        </w:rPr>
        <w:t xml:space="preserve">– </w:t>
      </w:r>
      <w:r>
        <w:rPr>
          <w:rFonts w:ascii="Arial" w:hAnsi="Arial"/>
          <w:sz w:val="28"/>
          <w:szCs w:val="28"/>
          <w:rtl w:val="0"/>
          <w:lang w:val="en-US"/>
        </w:rPr>
        <w:t xml:space="preserve">that restrict the opportunity for all sections of the community to participate equally and fully. We will ensure that we institute, support or contribute to appropriate measures or initiatives that enable access to tennis and participation in associated activities by people from any group that is under-represented in tennis or has difficulty accessing it and that they can do so with dignity or without being singled out.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(See Appendix A for full glossary of terms)</w:t>
      </w:r>
    </w:p>
    <w:p>
      <w:pPr>
        <w:pStyle w:val="Body"/>
        <w:rPr>
          <w:rFonts w:ascii="Arial" w:cs="Arial" w:hAnsi="Arial" w:eastAsia="Arial"/>
          <w:sz w:val="28"/>
          <w:szCs w:val="28"/>
        </w:rPr>
      </w:pPr>
    </w:p>
    <w:p>
      <w:pPr>
        <w:pStyle w:val="List Paragraph"/>
        <w:numPr>
          <w:ilvl w:val="0"/>
          <w:numId w:val="4"/>
        </w:numPr>
        <w:bidi w:val="0"/>
        <w:ind w:right="0"/>
        <w:jc w:val="left"/>
        <w:rPr>
          <w:rFonts w:ascii="Arial" w:hAnsi="Arial"/>
          <w:b w:val="1"/>
          <w:bCs w:val="1"/>
          <w:sz w:val="28"/>
          <w:szCs w:val="28"/>
          <w:rtl w:val="0"/>
          <w:lang w:val="en-US"/>
        </w:rPr>
      </w:pPr>
      <w:r>
        <w:rPr>
          <w:rFonts w:ascii="Arial" w:hAnsi="Arial"/>
          <w:b w:val="1"/>
          <w:bCs w:val="1"/>
          <w:sz w:val="28"/>
          <w:szCs w:val="28"/>
          <w:rtl w:val="0"/>
          <w:lang w:val="en-US"/>
        </w:rPr>
        <w:t>Scope</w:t>
      </w:r>
    </w:p>
    <w:p>
      <w:pPr>
        <w:pStyle w:val="Body"/>
        <w:rPr>
          <w:rFonts w:ascii="Arial" w:cs="Arial" w:hAnsi="Arial" w:eastAsia="Arial"/>
          <w:b w:val="1"/>
          <w:bCs w:val="1"/>
          <w:sz w:val="28"/>
          <w:szCs w:val="28"/>
        </w:rPr>
      </w:pPr>
    </w:p>
    <w:p>
      <w:pPr>
        <w:pStyle w:val="Body"/>
        <w:rPr>
          <w:rFonts w:ascii="Arial" w:cs="Arial" w:hAnsi="Arial" w:eastAsia="Arial"/>
          <w:sz w:val="28"/>
          <w:szCs w:val="28"/>
        </w:rPr>
      </w:pPr>
      <w:r>
        <w:rPr>
          <w:rFonts w:ascii="Arial" w:hAnsi="Arial"/>
          <w:sz w:val="28"/>
          <w:szCs w:val="28"/>
          <w:shd w:val="clear" w:color="auto" w:fill="ffff00"/>
          <w:rtl w:val="0"/>
          <w:lang w:val="en-US"/>
        </w:rPr>
        <w:t>Accessible Tennis CIC</w:t>
      </w:r>
      <w:r>
        <w:rPr>
          <w:rFonts w:ascii="Arial" w:hAnsi="Arial"/>
          <w:sz w:val="28"/>
          <w:szCs w:val="28"/>
          <w:rtl w:val="0"/>
          <w:lang w:val="en-US"/>
        </w:rPr>
        <w:t xml:space="preserve"> has direct safe and inclusive responsibility for:</w:t>
      </w:r>
    </w:p>
    <w:p>
      <w:pPr>
        <w:pStyle w:val="Body"/>
        <w:rPr>
          <w:rFonts w:ascii="Arial" w:cs="Arial" w:hAnsi="Arial" w:eastAsia="Arial"/>
          <w:sz w:val="28"/>
          <w:szCs w:val="28"/>
          <w:lang w:val="en-US"/>
        </w:rPr>
      </w:pPr>
    </w:p>
    <w:p>
      <w:pPr>
        <w:pStyle w:val="List Paragraph"/>
        <w:numPr>
          <w:ilvl w:val="0"/>
          <w:numId w:val="9"/>
        </w:numPr>
        <w:bidi w:val="0"/>
        <w:ind w:right="0"/>
        <w:jc w:val="left"/>
        <w:rPr>
          <w:rFonts w:ascii="Arial" w:hAnsi="Arial"/>
          <w:sz w:val="28"/>
          <w:szCs w:val="28"/>
          <w:rtl w:val="0"/>
          <w:lang w:val="en-US"/>
        </w:rPr>
      </w:pPr>
      <w:r>
        <w:rPr>
          <w:rFonts w:ascii="Arial" w:hAnsi="Arial"/>
          <w:sz w:val="28"/>
          <w:szCs w:val="28"/>
          <w:rtl w:val="0"/>
          <w:lang w:val="en-US"/>
        </w:rPr>
        <w:t>Staff, consultants, coaches and officials they employ;</w:t>
      </w:r>
    </w:p>
    <w:p>
      <w:pPr>
        <w:pStyle w:val="List Paragraph"/>
        <w:numPr>
          <w:ilvl w:val="0"/>
          <w:numId w:val="9"/>
        </w:numPr>
        <w:bidi w:val="0"/>
        <w:ind w:right="0"/>
        <w:jc w:val="left"/>
        <w:rPr>
          <w:rFonts w:ascii="Arial" w:hAnsi="Arial"/>
          <w:sz w:val="28"/>
          <w:szCs w:val="28"/>
          <w:rtl w:val="0"/>
          <w:lang w:val="en-US"/>
        </w:rPr>
      </w:pPr>
      <w:r>
        <w:rPr>
          <w:rFonts w:ascii="Arial" w:hAnsi="Arial"/>
          <w:sz w:val="28"/>
          <w:szCs w:val="28"/>
          <w:rtl w:val="0"/>
          <w:lang w:val="en-US"/>
        </w:rPr>
        <w:t>Volunteers, including board members and councillors they recruit;</w:t>
      </w:r>
    </w:p>
    <w:p>
      <w:pPr>
        <w:pStyle w:val="List Paragraph"/>
        <w:numPr>
          <w:ilvl w:val="0"/>
          <w:numId w:val="9"/>
        </w:numPr>
        <w:bidi w:val="0"/>
        <w:ind w:right="0"/>
        <w:jc w:val="left"/>
        <w:rPr>
          <w:rFonts w:ascii="Arial" w:hAnsi="Arial"/>
          <w:sz w:val="28"/>
          <w:szCs w:val="28"/>
          <w:rtl w:val="0"/>
          <w:lang w:val="en-US"/>
        </w:rPr>
      </w:pPr>
      <w:r>
        <w:rPr>
          <w:rFonts w:ascii="Arial" w:hAnsi="Arial"/>
          <w:sz w:val="28"/>
          <w:szCs w:val="28"/>
          <w:rtl w:val="0"/>
          <w:lang w:val="en-US"/>
        </w:rPr>
        <w:t>Venues they own;</w:t>
      </w:r>
    </w:p>
    <w:p>
      <w:pPr>
        <w:pStyle w:val="List Paragraph"/>
        <w:numPr>
          <w:ilvl w:val="0"/>
          <w:numId w:val="9"/>
        </w:numPr>
        <w:bidi w:val="0"/>
        <w:ind w:right="0"/>
        <w:jc w:val="left"/>
        <w:rPr>
          <w:rFonts w:ascii="Arial" w:hAnsi="Arial"/>
          <w:sz w:val="28"/>
          <w:szCs w:val="28"/>
          <w:rtl w:val="0"/>
          <w:lang w:val="en-US"/>
        </w:rPr>
      </w:pPr>
      <w:r>
        <w:rPr>
          <w:rFonts w:ascii="Arial" w:hAnsi="Arial"/>
          <w:sz w:val="28"/>
          <w:szCs w:val="28"/>
          <w:rtl w:val="0"/>
          <w:lang w:val="en-US"/>
        </w:rPr>
        <w:t>Events and programmes they run; and</w:t>
      </w:r>
    </w:p>
    <w:p>
      <w:pPr>
        <w:pStyle w:val="List Paragraph"/>
        <w:numPr>
          <w:ilvl w:val="0"/>
          <w:numId w:val="9"/>
        </w:numPr>
        <w:bidi w:val="0"/>
        <w:ind w:right="0"/>
        <w:jc w:val="left"/>
        <w:rPr>
          <w:rFonts w:ascii="Arial" w:hAnsi="Arial"/>
          <w:sz w:val="28"/>
          <w:szCs w:val="28"/>
          <w:rtl w:val="0"/>
          <w:lang w:val="en-US"/>
        </w:rPr>
      </w:pPr>
      <w:r>
        <w:rPr>
          <w:rFonts w:ascii="Arial" w:hAnsi="Arial"/>
          <w:sz w:val="28"/>
          <w:szCs w:val="28"/>
          <w:rtl w:val="0"/>
          <w:lang w:val="en-US"/>
        </w:rPr>
        <w:t>Ensuring all accreditation requirements are met by accredited coaches, officials and venues.</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We recommend and support the development of good diversity and inclusion practice to:</w:t>
      </w:r>
    </w:p>
    <w:p>
      <w:pPr>
        <w:pStyle w:val="Body"/>
        <w:rPr>
          <w:rFonts w:ascii="Arial" w:cs="Arial" w:hAnsi="Arial" w:eastAsia="Arial"/>
          <w:sz w:val="28"/>
          <w:szCs w:val="28"/>
          <w:lang w:val="en-US"/>
        </w:rPr>
      </w:pPr>
    </w:p>
    <w:p>
      <w:pPr>
        <w:pStyle w:val="List Paragraph"/>
        <w:numPr>
          <w:ilvl w:val="0"/>
          <w:numId w:val="11"/>
        </w:numPr>
        <w:bidi w:val="0"/>
        <w:ind w:right="0"/>
        <w:jc w:val="left"/>
        <w:rPr>
          <w:rFonts w:ascii="Arial" w:hAnsi="Arial"/>
          <w:sz w:val="28"/>
          <w:szCs w:val="28"/>
          <w:rtl w:val="0"/>
          <w:lang w:val="en-US"/>
        </w:rPr>
      </w:pPr>
      <w:r>
        <w:rPr>
          <w:rFonts w:ascii="Arial" w:hAnsi="Arial"/>
          <w:sz w:val="28"/>
          <w:szCs w:val="28"/>
          <w:rtl w:val="0"/>
          <w:lang w:val="en-US"/>
        </w:rPr>
        <w:t>Accredited coaches, officials and venues;</w:t>
      </w:r>
    </w:p>
    <w:p>
      <w:pPr>
        <w:pStyle w:val="List Paragraph"/>
        <w:numPr>
          <w:ilvl w:val="0"/>
          <w:numId w:val="11"/>
        </w:numPr>
        <w:bidi w:val="0"/>
        <w:ind w:right="0"/>
        <w:jc w:val="left"/>
        <w:rPr>
          <w:rFonts w:ascii="Arial" w:hAnsi="Arial"/>
          <w:sz w:val="28"/>
          <w:szCs w:val="28"/>
          <w:rtl w:val="0"/>
          <w:lang w:val="en-US"/>
        </w:rPr>
      </w:pPr>
      <w:r>
        <w:rPr>
          <w:rFonts w:ascii="Arial" w:hAnsi="Arial"/>
          <w:sz w:val="28"/>
          <w:szCs w:val="28"/>
          <w:rtl w:val="0"/>
          <w:lang w:val="en-US"/>
        </w:rPr>
        <w:t>Players, parents and carers;</w:t>
      </w:r>
    </w:p>
    <w:p>
      <w:pPr>
        <w:pStyle w:val="List Paragraph"/>
        <w:numPr>
          <w:ilvl w:val="0"/>
          <w:numId w:val="11"/>
        </w:numPr>
        <w:bidi w:val="0"/>
        <w:ind w:right="0"/>
        <w:jc w:val="left"/>
        <w:rPr>
          <w:rFonts w:ascii="Arial" w:hAnsi="Arial"/>
          <w:sz w:val="28"/>
          <w:szCs w:val="28"/>
          <w:rtl w:val="0"/>
          <w:lang w:val="en-US"/>
        </w:rPr>
      </w:pPr>
      <w:r>
        <w:rPr>
          <w:rFonts w:ascii="Arial" w:hAnsi="Arial"/>
          <w:sz w:val="28"/>
          <w:szCs w:val="28"/>
          <w:rtl w:val="0"/>
          <w:lang w:val="en-US"/>
        </w:rPr>
        <w:t>Volunteers recruited by other organisations;</w:t>
      </w:r>
    </w:p>
    <w:p>
      <w:pPr>
        <w:pStyle w:val="List Paragraph"/>
        <w:numPr>
          <w:ilvl w:val="0"/>
          <w:numId w:val="11"/>
        </w:numPr>
        <w:bidi w:val="0"/>
        <w:ind w:right="0"/>
        <w:jc w:val="left"/>
        <w:rPr>
          <w:rFonts w:ascii="Arial" w:hAnsi="Arial"/>
          <w:sz w:val="28"/>
          <w:szCs w:val="28"/>
          <w:rtl w:val="0"/>
          <w:lang w:val="en-US"/>
        </w:rPr>
      </w:pPr>
      <w:r>
        <w:rPr>
          <w:rFonts w:ascii="Arial" w:hAnsi="Arial"/>
          <w:sz w:val="28"/>
          <w:szCs w:val="28"/>
          <w:rtl w:val="0"/>
          <w:lang w:val="en-US"/>
        </w:rPr>
        <w:t xml:space="preserve">Venues hired by or on our behalf </w:t>
      </w:r>
    </w:p>
    <w:p>
      <w:pPr>
        <w:pStyle w:val="List Paragraph"/>
        <w:numPr>
          <w:ilvl w:val="0"/>
          <w:numId w:val="11"/>
        </w:numPr>
        <w:bidi w:val="0"/>
        <w:ind w:right="0"/>
        <w:jc w:val="left"/>
        <w:rPr>
          <w:rFonts w:ascii="Arial" w:hAnsi="Arial"/>
          <w:sz w:val="28"/>
          <w:szCs w:val="28"/>
          <w:rtl w:val="0"/>
          <w:lang w:val="en-US"/>
        </w:rPr>
      </w:pPr>
      <w:r>
        <w:rPr>
          <w:rFonts w:ascii="Arial" w:hAnsi="Arial"/>
          <w:sz w:val="28"/>
          <w:szCs w:val="28"/>
          <w:rtl w:val="0"/>
          <w:lang w:val="en-US"/>
        </w:rPr>
        <w:t>Club Events.</w:t>
      </w:r>
    </w:p>
    <w:p>
      <w:pPr>
        <w:pStyle w:val="Body"/>
        <w:rPr>
          <w:rFonts w:ascii="Arial" w:cs="Arial" w:hAnsi="Arial" w:eastAsia="Arial"/>
          <w:sz w:val="28"/>
          <w:szCs w:val="28"/>
          <w:shd w:val="clear" w:color="auto" w:fill="ffff00"/>
          <w:lang w:val="en-US"/>
        </w:rPr>
      </w:pPr>
    </w:p>
    <w:p>
      <w:pPr>
        <w:pStyle w:val="Body"/>
        <w:rPr>
          <w:rFonts w:ascii="Arial" w:cs="Arial" w:hAnsi="Arial" w:eastAsia="Arial"/>
          <w:sz w:val="28"/>
          <w:szCs w:val="28"/>
        </w:rPr>
      </w:pPr>
      <w:r>
        <w:rPr>
          <w:rFonts w:ascii="Arial" w:hAnsi="Arial"/>
          <w:sz w:val="28"/>
          <w:szCs w:val="28"/>
          <w:rtl w:val="0"/>
          <w:lang w:val="en-US"/>
        </w:rPr>
        <w:t>This Policy is in line with national legislation (see appendix B for details of the relevant legislation) and applicable to our club, specifically to</w:t>
      </w:r>
      <w:r>
        <w:rPr>
          <w:rFonts w:ascii="Arial" w:hAnsi="Arial"/>
          <w:sz w:val="28"/>
          <w:szCs w:val="28"/>
          <w:rtl w:val="0"/>
          <w:lang w:val="en-US"/>
        </w:rPr>
        <w:t xml:space="preserve"> every person and place that we have direct safe and inclusive responsibility for.</w:t>
      </w:r>
    </w:p>
    <w:p>
      <w:pPr>
        <w:pStyle w:val="Body"/>
        <w:rPr>
          <w:rFonts w:ascii="Arial" w:cs="Arial" w:hAnsi="Arial" w:eastAsia="Arial"/>
          <w:sz w:val="28"/>
          <w:szCs w:val="28"/>
          <w:lang w:val="en-US"/>
        </w:rPr>
      </w:pPr>
    </w:p>
    <w:p>
      <w:pPr>
        <w:pStyle w:val="List Paragraph"/>
        <w:numPr>
          <w:ilvl w:val="0"/>
          <w:numId w:val="12"/>
        </w:numPr>
        <w:bidi w:val="0"/>
        <w:ind w:right="0"/>
        <w:jc w:val="left"/>
        <w:rPr>
          <w:rFonts w:ascii="Arial" w:hAnsi="Arial"/>
          <w:b w:val="1"/>
          <w:bCs w:val="1"/>
          <w:sz w:val="28"/>
          <w:szCs w:val="28"/>
          <w:rtl w:val="0"/>
          <w:lang w:val="en-US"/>
        </w:rPr>
      </w:pPr>
      <w:r>
        <w:rPr>
          <w:rFonts w:ascii="Arial" w:hAnsi="Arial"/>
          <w:b w:val="1"/>
          <w:bCs w:val="1"/>
          <w:sz w:val="28"/>
          <w:szCs w:val="28"/>
          <w:rtl w:val="0"/>
          <w:lang w:val="en-US"/>
        </w:rPr>
        <w:t>Responsibility for implementation of the Diversity and Inclusion Policy</w:t>
      </w:r>
    </w:p>
    <w:p>
      <w:pPr>
        <w:pStyle w:val="List Paragraph"/>
        <w:tabs>
          <w:tab w:val="left" w:pos="840"/>
        </w:tabs>
        <w:ind w:left="360" w:firstLine="0"/>
        <w:rPr>
          <w:rFonts w:ascii="Arial" w:cs="Arial" w:hAnsi="Arial" w:eastAsia="Arial"/>
          <w:b w:val="1"/>
          <w:bCs w:val="1"/>
          <w:sz w:val="28"/>
          <w:szCs w:val="28"/>
        </w:rPr>
      </w:pPr>
    </w:p>
    <w:p>
      <w:pPr>
        <w:pStyle w:val="Body"/>
        <w:tabs>
          <w:tab w:val="left" w:pos="840"/>
        </w:tabs>
        <w:rPr>
          <w:rFonts w:ascii="Arial" w:cs="Arial" w:hAnsi="Arial" w:eastAsia="Arial"/>
          <w:b w:val="1"/>
          <w:bCs w:val="1"/>
          <w:sz w:val="28"/>
          <w:szCs w:val="28"/>
        </w:rPr>
      </w:pPr>
      <w:r>
        <w:rPr>
          <w:rFonts w:ascii="Arial" w:hAnsi="Arial"/>
          <w:b w:val="1"/>
          <w:bCs w:val="1"/>
          <w:sz w:val="28"/>
          <w:szCs w:val="28"/>
          <w:rtl w:val="0"/>
          <w:lang w:val="en-US"/>
        </w:rPr>
        <w:t>Diversity and inclusion is everyone</w:t>
      </w:r>
      <w:r>
        <w:rPr>
          <w:rFonts w:ascii="Arial" w:hAnsi="Arial" w:hint="default"/>
          <w:b w:val="1"/>
          <w:bCs w:val="1"/>
          <w:sz w:val="28"/>
          <w:szCs w:val="28"/>
          <w:rtl w:val="0"/>
          <w:lang w:val="en-US"/>
        </w:rPr>
        <w:t>’</w:t>
      </w:r>
      <w:r>
        <w:rPr>
          <w:rFonts w:ascii="Arial" w:hAnsi="Arial"/>
          <w:b w:val="1"/>
          <w:bCs w:val="1"/>
          <w:sz w:val="28"/>
          <w:szCs w:val="28"/>
          <w:rtl w:val="0"/>
          <w:lang w:val="en-US"/>
        </w:rPr>
        <w:t>s responsibility: not responding to discriminatory or unacceptable language and behaviour is not an option.</w:t>
      </w:r>
    </w:p>
    <w:p>
      <w:pPr>
        <w:pStyle w:val="Body"/>
        <w:tabs>
          <w:tab w:val="left" w:pos="840"/>
        </w:tabs>
        <w:rPr>
          <w:rFonts w:ascii="Arial" w:cs="Arial" w:hAnsi="Arial" w:eastAsia="Arial"/>
          <w:b w:val="1"/>
          <w:bCs w:val="1"/>
          <w:sz w:val="28"/>
          <w:szCs w:val="28"/>
          <w:lang w:val="en-US"/>
        </w:rPr>
      </w:pPr>
    </w:p>
    <w:p>
      <w:pPr>
        <w:pStyle w:val="List Paragraph"/>
        <w:numPr>
          <w:ilvl w:val="0"/>
          <w:numId w:val="14"/>
        </w:numPr>
        <w:bidi w:val="0"/>
        <w:ind w:right="0"/>
        <w:jc w:val="left"/>
        <w:rPr>
          <w:rFonts w:ascii="Arial" w:hAnsi="Arial"/>
          <w:sz w:val="28"/>
          <w:szCs w:val="28"/>
          <w:rtl w:val="0"/>
          <w:lang w:val="en-US"/>
        </w:rPr>
      </w:pPr>
      <w:r>
        <w:rPr>
          <w:rFonts w:ascii="Arial" w:hAnsi="Arial"/>
          <w:sz w:val="28"/>
          <w:szCs w:val="28"/>
          <w:rtl w:val="0"/>
          <w:lang w:val="en-US"/>
        </w:rPr>
        <w:t>The club</w:t>
      </w:r>
      <w:r>
        <w:rPr>
          <w:rFonts w:ascii="Arial" w:hAnsi="Arial" w:hint="default"/>
          <w:sz w:val="28"/>
          <w:szCs w:val="28"/>
          <w:rtl w:val="0"/>
          <w:lang w:val="en-US"/>
        </w:rPr>
        <w:t>’</w:t>
      </w:r>
      <w:r>
        <w:rPr>
          <w:rFonts w:ascii="Arial" w:hAnsi="Arial"/>
          <w:sz w:val="28"/>
          <w:szCs w:val="28"/>
          <w:rtl w:val="0"/>
          <w:lang w:val="en-US"/>
        </w:rPr>
        <w:t>s Committee and Chair have overall accountability for this Policy and Reporting Procedure, for being the strategic lead on diversity and inclusion and for ensuring compliance with the relevant legislation (see Appendix for details).</w:t>
      </w:r>
    </w:p>
    <w:p>
      <w:pPr>
        <w:pStyle w:val="List Paragraph"/>
        <w:numPr>
          <w:ilvl w:val="0"/>
          <w:numId w:val="14"/>
        </w:numPr>
        <w:bidi w:val="0"/>
        <w:ind w:right="0"/>
        <w:jc w:val="left"/>
        <w:rPr>
          <w:rFonts w:ascii="Arial" w:hAnsi="Arial"/>
          <w:sz w:val="28"/>
          <w:szCs w:val="28"/>
          <w:rtl w:val="0"/>
          <w:lang w:val="en-US"/>
        </w:rPr>
      </w:pPr>
      <w:r>
        <w:rPr>
          <w:rFonts w:ascii="Arial" w:hAnsi="Arial"/>
          <w:sz w:val="28"/>
          <w:szCs w:val="28"/>
          <w:rtl w:val="0"/>
          <w:lang w:val="en-US"/>
        </w:rPr>
        <w:t>The club</w:t>
      </w:r>
      <w:r>
        <w:rPr>
          <w:rFonts w:ascii="Arial" w:hAnsi="Arial" w:hint="default"/>
          <w:sz w:val="28"/>
          <w:szCs w:val="28"/>
          <w:rtl w:val="0"/>
          <w:lang w:val="en-US"/>
        </w:rPr>
        <w:t>’</w:t>
      </w:r>
      <w:r>
        <w:rPr>
          <w:rFonts w:ascii="Arial" w:hAnsi="Arial"/>
          <w:sz w:val="28"/>
          <w:szCs w:val="28"/>
          <w:rtl w:val="0"/>
          <w:lang w:val="en-US"/>
        </w:rPr>
        <w:t xml:space="preserve">s </w:t>
      </w:r>
      <w:r>
        <w:rPr>
          <w:rFonts w:ascii="Arial" w:hAnsi="Arial"/>
          <w:sz w:val="28"/>
          <w:szCs w:val="28"/>
          <w:rtl w:val="0"/>
          <w:lang w:val="en-US"/>
        </w:rPr>
        <w:t xml:space="preserve">Directors </w:t>
      </w:r>
      <w:r>
        <w:rPr>
          <w:rFonts w:ascii="Arial" w:hAnsi="Arial"/>
          <w:sz w:val="28"/>
          <w:szCs w:val="28"/>
          <w:rtl w:val="0"/>
          <w:lang w:val="en-US"/>
        </w:rPr>
        <w:t>and Welfare Officer</w:t>
      </w:r>
      <w:r>
        <w:rPr>
          <w:rFonts w:ascii="Arial" w:hAnsi="Arial"/>
          <w:sz w:val="28"/>
          <w:szCs w:val="28"/>
          <w:rtl w:val="0"/>
          <w:lang w:val="en-US"/>
        </w:rPr>
        <w:t>s,</w:t>
      </w:r>
      <w:r>
        <w:rPr>
          <w:rFonts w:ascii="Arial" w:hAnsi="Arial"/>
          <w:sz w:val="28"/>
          <w:szCs w:val="28"/>
          <w:rtl w:val="0"/>
          <w:lang w:val="en-US"/>
        </w:rPr>
        <w:t xml:space="preserve"> have overall responsibility for implementation of the policy.</w:t>
      </w:r>
    </w:p>
    <w:p>
      <w:pPr>
        <w:pStyle w:val="List Paragraph"/>
        <w:numPr>
          <w:ilvl w:val="0"/>
          <w:numId w:val="14"/>
        </w:numPr>
        <w:bidi w:val="0"/>
        <w:ind w:right="0"/>
        <w:jc w:val="left"/>
        <w:rPr>
          <w:rFonts w:ascii="Arial" w:hAnsi="Arial"/>
          <w:sz w:val="28"/>
          <w:szCs w:val="28"/>
          <w:rtl w:val="0"/>
          <w:lang w:val="en-US"/>
        </w:rPr>
      </w:pPr>
      <w:r>
        <w:rPr>
          <w:rFonts w:ascii="Arial" w:hAnsi="Arial"/>
          <w:sz w:val="28"/>
          <w:szCs w:val="28"/>
          <w:rtl w:val="0"/>
          <w:lang w:val="en-US"/>
        </w:rPr>
        <w:t xml:space="preserve">The </w:t>
      </w:r>
      <w:r>
        <w:rPr>
          <w:rFonts w:ascii="Arial" w:hAnsi="Arial"/>
          <w:sz w:val="28"/>
          <w:szCs w:val="28"/>
          <w:rtl w:val="0"/>
          <w:lang w:val="en-US"/>
        </w:rPr>
        <w:t>Directors</w:t>
      </w:r>
      <w:r>
        <w:rPr>
          <w:rFonts w:ascii="Arial" w:hAnsi="Arial"/>
          <w:sz w:val="28"/>
          <w:szCs w:val="28"/>
          <w:rtl w:val="0"/>
          <w:lang w:val="en-US"/>
        </w:rPr>
        <w:t xml:space="preserve"> and Welfare Officer</w:t>
      </w:r>
      <w:r>
        <w:rPr>
          <w:rFonts w:ascii="Arial" w:hAnsi="Arial"/>
          <w:sz w:val="28"/>
          <w:szCs w:val="28"/>
          <w:rtl w:val="0"/>
          <w:lang w:val="en-US"/>
        </w:rPr>
        <w:t>s</w:t>
      </w:r>
      <w:r>
        <w:rPr>
          <w:rFonts w:ascii="Arial" w:hAnsi="Arial"/>
          <w:sz w:val="28"/>
          <w:szCs w:val="28"/>
          <w:rtl w:val="0"/>
          <w:lang w:val="en-US"/>
        </w:rPr>
        <w:t xml:space="preserve"> of the club are responsible for updating this Policy and Reporting Procedure in line with legislative and organisational developments; and develop a strategic and proactive approach to diversity and inclusion and respond to discrimination concerns.</w:t>
      </w:r>
    </w:p>
    <w:p>
      <w:pPr>
        <w:pStyle w:val="List Paragraph"/>
        <w:numPr>
          <w:ilvl w:val="0"/>
          <w:numId w:val="14"/>
        </w:numPr>
        <w:bidi w:val="0"/>
        <w:ind w:right="0"/>
        <w:jc w:val="left"/>
        <w:rPr>
          <w:rFonts w:ascii="Arial" w:hAnsi="Arial"/>
          <w:sz w:val="28"/>
          <w:szCs w:val="28"/>
          <w:rtl w:val="0"/>
          <w:lang w:val="en-US"/>
        </w:rPr>
      </w:pPr>
      <w:r>
        <w:rPr>
          <w:rFonts w:ascii="Arial" w:hAnsi="Arial"/>
          <w:sz w:val="28"/>
          <w:szCs w:val="28"/>
          <w:shd w:val="clear" w:color="auto" w:fill="ffff00"/>
          <w:rtl w:val="0"/>
          <w:lang w:val="en-US"/>
        </w:rPr>
        <w:t xml:space="preserve">Accessible Tennis CIC </w:t>
      </w:r>
      <w:r>
        <w:rPr>
          <w:rFonts w:ascii="Arial" w:hAnsi="Arial"/>
          <w:sz w:val="28"/>
          <w:szCs w:val="28"/>
          <w:rtl w:val="0"/>
          <w:lang w:val="en-US"/>
        </w:rPr>
        <w:t xml:space="preserve"> Club</w:t>
      </w:r>
      <w:r>
        <w:rPr>
          <w:rFonts w:ascii="Arial" w:hAnsi="Arial" w:hint="default"/>
          <w:sz w:val="28"/>
          <w:szCs w:val="28"/>
          <w:rtl w:val="0"/>
          <w:lang w:val="en-US"/>
        </w:rPr>
        <w:t>’</w:t>
      </w:r>
      <w:r>
        <w:rPr>
          <w:rFonts w:ascii="Arial" w:hAnsi="Arial"/>
          <w:sz w:val="28"/>
          <w:szCs w:val="28"/>
          <w:rtl w:val="0"/>
          <w:lang w:val="en-US"/>
        </w:rPr>
        <w:t>s Welfare Officer</w:t>
      </w:r>
      <w:r>
        <w:rPr>
          <w:rFonts w:ascii="Arial" w:hAnsi="Arial"/>
          <w:sz w:val="28"/>
          <w:szCs w:val="28"/>
          <w:rtl w:val="0"/>
          <w:lang w:val="en-US"/>
        </w:rPr>
        <w:t>s</w:t>
      </w:r>
      <w:r>
        <w:rPr>
          <w:rFonts w:ascii="Arial" w:hAnsi="Arial"/>
          <w:sz w:val="28"/>
          <w:szCs w:val="28"/>
          <w:rtl w:val="0"/>
          <w:lang w:val="en-US"/>
        </w:rPr>
        <w:t xml:space="preserve"> </w:t>
      </w:r>
      <w:r>
        <w:rPr>
          <w:rFonts w:ascii="Arial" w:hAnsi="Arial"/>
          <w:sz w:val="28"/>
          <w:szCs w:val="28"/>
          <w:rtl w:val="0"/>
          <w:lang w:val="en-US"/>
        </w:rPr>
        <w:t>are</w:t>
      </w:r>
      <w:r>
        <w:rPr>
          <w:rFonts w:ascii="Arial" w:hAnsi="Arial"/>
          <w:sz w:val="28"/>
          <w:szCs w:val="28"/>
          <w:rtl w:val="0"/>
          <w:lang w:val="en-US"/>
        </w:rPr>
        <w:t xml:space="preserve"> responsible for supporting  the club to identify where diversity and inclusion support is required; to implement safe and inclusive procedures; promote diversity and inclusion principles, including the Safeguarding and Reporting Procedure, to all the venues they manage, programmes, events and individuals including players, parents and carers.</w:t>
      </w:r>
    </w:p>
    <w:p>
      <w:pPr>
        <w:pStyle w:val="List Paragraph"/>
        <w:numPr>
          <w:ilvl w:val="0"/>
          <w:numId w:val="14"/>
        </w:numPr>
        <w:bidi w:val="0"/>
        <w:ind w:right="0"/>
        <w:jc w:val="left"/>
        <w:rPr>
          <w:rFonts w:ascii="Arial" w:hAnsi="Arial"/>
          <w:sz w:val="28"/>
          <w:szCs w:val="28"/>
          <w:rtl w:val="0"/>
          <w:lang w:val="en-US"/>
        </w:rPr>
      </w:pPr>
      <w:r>
        <w:rPr>
          <w:rFonts w:ascii="Arial" w:hAnsi="Arial"/>
          <w:sz w:val="28"/>
          <w:szCs w:val="28"/>
          <w:rtl w:val="0"/>
          <w:lang w:val="en-US"/>
        </w:rPr>
        <w:t>All staff, consultants, coaches, officials and volunteers</w:t>
      </w:r>
      <w:r>
        <w:rPr>
          <w:rFonts w:ascii="Arial" w:hAnsi="Arial"/>
          <w:sz w:val="28"/>
          <w:szCs w:val="28"/>
          <w:rtl w:val="0"/>
          <w:lang w:val="en-US"/>
        </w:rPr>
        <w:t xml:space="preserve"> involved in tennis are responsible for raising diversity and inclusion concerns with the club</w:t>
      </w:r>
      <w:r>
        <w:rPr>
          <w:rFonts w:ascii="Arial" w:hAnsi="Arial" w:hint="default"/>
          <w:sz w:val="28"/>
          <w:szCs w:val="28"/>
          <w:rtl w:val="0"/>
          <w:lang w:val="en-US"/>
        </w:rPr>
        <w:t>’</w:t>
      </w:r>
      <w:r>
        <w:rPr>
          <w:rFonts w:ascii="Arial" w:hAnsi="Arial"/>
          <w:sz w:val="28"/>
          <w:szCs w:val="28"/>
          <w:rtl w:val="0"/>
          <w:lang w:val="en-US"/>
        </w:rPr>
        <w:t>s Welfare Officer to start with; then the Safe and Inclusive Tennis team if applicable, as outlined in the Reporting Procedure.</w:t>
      </w:r>
    </w:p>
    <w:p>
      <w:pPr>
        <w:pStyle w:val="List Paragraph"/>
        <w:numPr>
          <w:ilvl w:val="0"/>
          <w:numId w:val="14"/>
        </w:numPr>
        <w:bidi w:val="0"/>
        <w:ind w:right="0"/>
        <w:jc w:val="left"/>
        <w:rPr>
          <w:rFonts w:ascii="Arial" w:hAnsi="Arial"/>
          <w:sz w:val="28"/>
          <w:szCs w:val="28"/>
          <w:rtl w:val="0"/>
          <w:lang w:val="en-US"/>
        </w:rPr>
      </w:pPr>
      <w:r>
        <w:rPr>
          <w:rFonts w:ascii="Arial" w:hAnsi="Arial"/>
          <w:sz w:val="28"/>
          <w:szCs w:val="28"/>
          <w:rtl w:val="0"/>
          <w:lang w:val="en-US"/>
        </w:rPr>
        <w:t>Players, parents and guardians are responsible for upholding the Code of Conduct and Reporting Procedure.</w:t>
      </w:r>
    </w:p>
    <w:p>
      <w:pPr>
        <w:pStyle w:val="List Paragraph"/>
        <w:numPr>
          <w:ilvl w:val="0"/>
          <w:numId w:val="15"/>
        </w:numPr>
        <w:bidi w:val="0"/>
        <w:spacing w:after="37"/>
        <w:ind w:right="0"/>
        <w:jc w:val="left"/>
        <w:rPr>
          <w:rFonts w:ascii="Arial" w:hAnsi="Arial"/>
          <w:sz w:val="28"/>
          <w:szCs w:val="28"/>
          <w:rtl w:val="0"/>
          <w:lang w:val="en-US"/>
        </w:rPr>
      </w:pPr>
      <w:r>
        <w:rPr>
          <w:rFonts w:ascii="Arial" w:hAnsi="Arial"/>
          <w:sz w:val="28"/>
          <w:szCs w:val="28"/>
          <w:shd w:val="clear" w:color="auto" w:fill="ffff00"/>
          <w:rtl w:val="0"/>
          <w:lang w:val="en-US"/>
        </w:rPr>
        <w:t>Accessible Tennis CIC is committed</w:t>
      </w:r>
      <w:r>
        <w:rPr>
          <w:rFonts w:ascii="Arial" w:hAnsi="Arial"/>
          <w:sz w:val="28"/>
          <w:szCs w:val="28"/>
          <w:rtl w:val="0"/>
          <w:lang w:val="en-US"/>
        </w:rPr>
        <w:t xml:space="preserve"> to:</w:t>
      </w:r>
    </w:p>
    <w:p>
      <w:pPr>
        <w:pStyle w:val="Body"/>
        <w:numPr>
          <w:ilvl w:val="1"/>
          <w:numId w:val="15"/>
        </w:numPr>
        <w:bidi w:val="0"/>
        <w:ind w:right="0"/>
        <w:jc w:val="left"/>
        <w:rPr>
          <w:rFonts w:ascii="Arial" w:hAnsi="Arial"/>
          <w:sz w:val="28"/>
          <w:szCs w:val="28"/>
          <w:rtl w:val="0"/>
          <w:lang w:val="en-US"/>
        </w:rPr>
      </w:pPr>
      <w:r>
        <w:rPr>
          <w:rFonts w:ascii="Arial" w:hAnsi="Arial"/>
          <w:sz w:val="28"/>
          <w:szCs w:val="28"/>
          <w:rtl w:val="0"/>
          <w:lang w:val="en-US"/>
        </w:rPr>
        <w:t xml:space="preserve">formally adopt this policy, </w:t>
      </w:r>
    </w:p>
    <w:p>
      <w:pPr>
        <w:pStyle w:val="Body"/>
        <w:numPr>
          <w:ilvl w:val="1"/>
          <w:numId w:val="15"/>
        </w:numPr>
        <w:bidi w:val="0"/>
        <w:ind w:right="0"/>
        <w:jc w:val="left"/>
        <w:rPr>
          <w:rFonts w:ascii="Arial" w:hAnsi="Arial"/>
          <w:sz w:val="28"/>
          <w:szCs w:val="28"/>
          <w:rtl w:val="0"/>
          <w:lang w:val="en-US"/>
        </w:rPr>
      </w:pPr>
      <w:r>
        <w:rPr>
          <w:rFonts w:ascii="Arial" w:hAnsi="Arial"/>
          <w:sz w:val="28"/>
          <w:szCs w:val="28"/>
          <w:rtl w:val="0"/>
          <w:lang w:val="en-US"/>
        </w:rPr>
        <w:t>take steps to ensure that our committee, members, participants and volunteers behave in accordance with the policy, including where appropriate taking disciplinary action under our constitution;</w:t>
      </w:r>
    </w:p>
    <w:p>
      <w:pPr>
        <w:pStyle w:val="Body"/>
        <w:numPr>
          <w:ilvl w:val="1"/>
          <w:numId w:val="15"/>
        </w:numPr>
        <w:bidi w:val="0"/>
        <w:ind w:right="0"/>
        <w:jc w:val="left"/>
        <w:rPr>
          <w:rFonts w:ascii="Arial" w:hAnsi="Arial"/>
          <w:sz w:val="28"/>
          <w:szCs w:val="28"/>
          <w:rtl w:val="0"/>
          <w:lang w:val="en-US"/>
        </w:rPr>
      </w:pPr>
      <w:r>
        <w:rPr>
          <w:rFonts w:ascii="Arial" w:hAnsi="Arial"/>
          <w:sz w:val="28"/>
          <w:szCs w:val="28"/>
          <w:rtl w:val="0"/>
          <w:lang w:val="en-US"/>
        </w:rPr>
        <w:t>ensure that access to membership as well as access to participation is open and inclusive;</w:t>
      </w:r>
    </w:p>
    <w:p>
      <w:pPr>
        <w:pStyle w:val="Body"/>
        <w:numPr>
          <w:ilvl w:val="1"/>
          <w:numId w:val="15"/>
        </w:numPr>
        <w:bidi w:val="0"/>
        <w:ind w:right="0"/>
        <w:jc w:val="left"/>
        <w:rPr>
          <w:rFonts w:ascii="Arial" w:hAnsi="Arial"/>
          <w:sz w:val="28"/>
          <w:szCs w:val="28"/>
          <w:rtl w:val="0"/>
          <w:lang w:val="en-US"/>
        </w:rPr>
      </w:pPr>
      <w:r>
        <w:rPr>
          <w:rFonts w:ascii="Arial" w:hAnsi="Arial"/>
          <w:sz w:val="28"/>
          <w:szCs w:val="28"/>
          <w:rtl w:val="0"/>
          <w:lang w:val="en-US"/>
        </w:rPr>
        <w:t>publish accurate information about the location and accessibility of our facilities; and</w:t>
      </w:r>
    </w:p>
    <w:p>
      <w:pPr>
        <w:pStyle w:val="Body"/>
        <w:numPr>
          <w:ilvl w:val="1"/>
          <w:numId w:val="15"/>
        </w:numPr>
        <w:bidi w:val="0"/>
        <w:ind w:right="0"/>
        <w:jc w:val="left"/>
        <w:rPr>
          <w:rFonts w:ascii="Arial" w:hAnsi="Arial"/>
          <w:sz w:val="28"/>
          <w:szCs w:val="28"/>
          <w:rtl w:val="0"/>
          <w:lang w:val="en-US"/>
        </w:rPr>
      </w:pPr>
      <w:r>
        <w:rPr>
          <w:rFonts w:ascii="Arial" w:hAnsi="Arial"/>
          <w:sz w:val="28"/>
          <w:szCs w:val="28"/>
          <w:rtl w:val="0"/>
          <w:lang w:val="en-US"/>
        </w:rPr>
        <w:t xml:space="preserve">support measures and initiatives that British Tennis may institute or take part in to advance the aims of this policy as part of our commitment to our LTA membership.  </w:t>
      </w:r>
    </w:p>
    <w:p>
      <w:pPr>
        <w:pStyle w:val="Body"/>
        <w:tabs>
          <w:tab w:val="left" w:pos="840"/>
        </w:tabs>
        <w:rPr>
          <w:rFonts w:ascii="Arial" w:cs="Arial" w:hAnsi="Arial" w:eastAsia="Arial"/>
          <w:sz w:val="28"/>
          <w:szCs w:val="28"/>
        </w:rPr>
      </w:pPr>
    </w:p>
    <w:p>
      <w:pPr>
        <w:pStyle w:val="Body"/>
        <w:tabs>
          <w:tab w:val="left" w:pos="840"/>
        </w:tabs>
        <w:rPr>
          <w:rFonts w:ascii="Arial" w:cs="Arial" w:hAnsi="Arial" w:eastAsia="Arial"/>
          <w:sz w:val="28"/>
          <w:szCs w:val="28"/>
        </w:rPr>
      </w:pPr>
      <w:r>
        <w:rPr>
          <w:rFonts w:ascii="Arial" w:hAnsi="Arial"/>
          <w:sz w:val="28"/>
          <w:szCs w:val="28"/>
          <w:rtl w:val="0"/>
          <w:lang w:val="en-US"/>
        </w:rPr>
        <w:t xml:space="preserve">Where there is a diversity and inclusion concern/disclosure: </w:t>
      </w:r>
    </w:p>
    <w:p>
      <w:pPr>
        <w:pStyle w:val="Body"/>
        <w:tabs>
          <w:tab w:val="left" w:pos="840"/>
        </w:tabs>
        <w:rPr>
          <w:rFonts w:ascii="Arial" w:cs="Arial" w:hAnsi="Arial" w:eastAsia="Arial"/>
          <w:sz w:val="28"/>
          <w:szCs w:val="28"/>
        </w:rPr>
      </w:pPr>
    </w:p>
    <w:p>
      <w:pPr>
        <w:pStyle w:val="List Paragraph"/>
        <w:numPr>
          <w:ilvl w:val="0"/>
          <w:numId w:val="17"/>
        </w:numPr>
        <w:bidi w:val="0"/>
        <w:ind w:right="0"/>
        <w:jc w:val="left"/>
        <w:rPr>
          <w:rFonts w:ascii="Arial" w:hAnsi="Arial"/>
          <w:sz w:val="28"/>
          <w:szCs w:val="28"/>
          <w:rtl w:val="0"/>
          <w:lang w:val="en-US"/>
        </w:rPr>
      </w:pPr>
      <w:r>
        <w:rPr>
          <w:rFonts w:ascii="Arial" w:hAnsi="Arial"/>
          <w:sz w:val="28"/>
          <w:szCs w:val="28"/>
          <w:rtl w:val="0"/>
          <w:lang w:val="en-US"/>
        </w:rPr>
        <w:t xml:space="preserve">The individual who is told about, hears, or is made aware of the concern/disclosure is responsible for following the </w:t>
      </w:r>
      <w:r>
        <w:rPr>
          <w:rStyle w:val="Link"/>
          <w:rFonts w:ascii="Arial" w:cs="Arial" w:hAnsi="Arial" w:eastAsia="Arial"/>
          <w:sz w:val="28"/>
          <w:szCs w:val="28"/>
        </w:rPr>
        <w:fldChar w:fldCharType="begin" w:fldLock="0"/>
      </w:r>
      <w:r>
        <w:rPr>
          <w:rStyle w:val="Link"/>
          <w:rFonts w:ascii="Arial" w:cs="Arial" w:hAnsi="Arial" w:eastAsia="Arial"/>
          <w:sz w:val="28"/>
          <w:szCs w:val="28"/>
        </w:rPr>
        <w:instrText xml:space="preserve"> HYPERLINK \l "Including_Standards_Code" </w:instrText>
      </w:r>
      <w:r>
        <w:rPr>
          <w:rStyle w:val="Link"/>
          <w:rFonts w:ascii="Arial" w:cs="Arial" w:hAnsi="Arial" w:eastAsia="Arial"/>
          <w:sz w:val="28"/>
          <w:szCs w:val="28"/>
        </w:rPr>
        <w:fldChar w:fldCharType="separate" w:fldLock="0"/>
      </w:r>
      <w:r>
        <w:rPr>
          <w:rStyle w:val="Link"/>
          <w:rFonts w:ascii="Arial" w:hAnsi="Arial"/>
          <w:sz w:val="28"/>
          <w:szCs w:val="28"/>
          <w:rtl w:val="0"/>
          <w:lang w:val="en-US"/>
        </w:rPr>
        <w:t>Concern Reporting Procedure</w:t>
      </w:r>
      <w:r>
        <w:rPr>
          <w:rFonts w:ascii="Arial" w:cs="Arial" w:hAnsi="Arial" w:eastAsia="Arial"/>
          <w:sz w:val="28"/>
          <w:szCs w:val="28"/>
        </w:rPr>
        <w:fldChar w:fldCharType="end" w:fldLock="0"/>
      </w:r>
      <w:r>
        <w:rPr>
          <w:rFonts w:ascii="Arial" w:hAnsi="Arial"/>
          <w:sz w:val="28"/>
          <w:szCs w:val="28"/>
          <w:rtl w:val="0"/>
          <w:lang w:val="en-US"/>
        </w:rPr>
        <w:t xml:space="preserve"> above </w:t>
      </w:r>
    </w:p>
    <w:p>
      <w:pPr>
        <w:pStyle w:val="Body"/>
        <w:tabs>
          <w:tab w:val="left" w:pos="840"/>
        </w:tabs>
        <w:rPr>
          <w:rFonts w:ascii="Arial" w:cs="Arial" w:hAnsi="Arial" w:eastAsia="Arial"/>
          <w:sz w:val="28"/>
          <w:szCs w:val="28"/>
        </w:rPr>
      </w:pPr>
    </w:p>
    <w:p>
      <w:pPr>
        <w:pStyle w:val="List Paragraph"/>
        <w:numPr>
          <w:ilvl w:val="0"/>
          <w:numId w:val="18"/>
        </w:numPr>
        <w:bidi w:val="0"/>
        <w:ind w:right="0"/>
        <w:jc w:val="left"/>
        <w:rPr>
          <w:rFonts w:ascii="Arial" w:hAnsi="Arial"/>
          <w:b w:val="1"/>
          <w:bCs w:val="1"/>
          <w:sz w:val="28"/>
          <w:szCs w:val="28"/>
          <w:rtl w:val="0"/>
          <w:lang w:val="en-US"/>
        </w:rPr>
      </w:pPr>
      <w:r>
        <w:rPr>
          <w:rFonts w:ascii="Arial" w:hAnsi="Arial"/>
          <w:b w:val="1"/>
          <w:bCs w:val="1"/>
          <w:sz w:val="28"/>
          <w:szCs w:val="28"/>
          <w:rtl w:val="0"/>
          <w:lang w:val="en-US"/>
        </w:rPr>
        <w:t>Breaches of the Diversity and Inclusion Policy, Standards, Code of Conduct and Reporting Procedure</w:t>
      </w:r>
    </w:p>
    <w:p>
      <w:pPr>
        <w:pStyle w:val="Body"/>
        <w:tabs>
          <w:tab w:val="left" w:pos="840"/>
        </w:tabs>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Where there are concerns that diversity and inclusion good practice has not been followed, all staff are encouraged to follow the club</w:t>
      </w:r>
      <w:r>
        <w:rPr>
          <w:rFonts w:ascii="Arial" w:hAnsi="Arial" w:hint="default"/>
          <w:sz w:val="28"/>
          <w:szCs w:val="28"/>
          <w:rtl w:val="0"/>
        </w:rPr>
        <w:t>’</w:t>
      </w:r>
      <w:r>
        <w:rPr>
          <w:rFonts w:ascii="Arial" w:hAnsi="Arial"/>
          <w:sz w:val="28"/>
          <w:szCs w:val="28"/>
          <w:rtl w:val="0"/>
          <w:lang w:val="en-US"/>
        </w:rPr>
        <w:t xml:space="preserve">s whistleblowing policy; consultants, coaches, officials, volunteers and players are encouraged to: </w:t>
      </w:r>
    </w:p>
    <w:p>
      <w:pPr>
        <w:pStyle w:val="Body"/>
        <w:jc w:val="center"/>
        <w:rPr>
          <w:rFonts w:ascii="Arial" w:cs="Arial" w:hAnsi="Arial" w:eastAsia="Arial"/>
          <w:sz w:val="28"/>
          <w:szCs w:val="28"/>
        </w:rPr>
      </w:pPr>
    </w:p>
    <w:p>
      <w:pPr>
        <w:pStyle w:val="Body"/>
        <w:jc w:val="center"/>
        <w:rPr>
          <w:rFonts w:ascii="Arial" w:cs="Arial" w:hAnsi="Arial" w:eastAsia="Arial"/>
          <w:sz w:val="28"/>
          <w:szCs w:val="28"/>
        </w:rPr>
      </w:pPr>
      <w:r>
        <w:rPr>
          <w:rFonts w:ascii="Arial" w:cs="Arial" w:hAnsi="Arial" w:eastAsia="Arial"/>
          <w:sz w:val="28"/>
          <w:szCs w:val="28"/>
        </w:rPr>
        <mc:AlternateContent>
          <mc:Choice Requires="wpg">
            <w:drawing xmlns:a="http://schemas.openxmlformats.org/drawingml/2006/main">
              <wp:inline distT="0" distB="0" distL="0" distR="0">
                <wp:extent cx="5969000" cy="2551093"/>
                <wp:effectExtent l="0" t="0" r="0" b="0"/>
                <wp:docPr id="1073741834" name="officeArt object"/>
                <wp:cNvGraphicFramePr/>
                <a:graphic xmlns:a="http://schemas.openxmlformats.org/drawingml/2006/main">
                  <a:graphicData uri="http://schemas.microsoft.com/office/word/2010/wordprocessingGroup">
                    <wpg:wgp>
                      <wpg:cNvGrpSpPr/>
                      <wpg:grpSpPr>
                        <a:xfrm>
                          <a:off x="0" y="0"/>
                          <a:ext cx="5969000" cy="2551093"/>
                          <a:chOff x="0" y="0"/>
                          <a:chExt cx="5968999" cy="2551092"/>
                        </a:xfrm>
                      </wpg:grpSpPr>
                      <wpg:grpSp>
                        <wpg:cNvPr id="1073741827" name="Group 1073741827"/>
                        <wpg:cNvGrpSpPr/>
                        <wpg:grpSpPr>
                          <a:xfrm>
                            <a:off x="0" y="1970658"/>
                            <a:ext cx="5969000" cy="580435"/>
                            <a:chOff x="0" y="0"/>
                            <a:chExt cx="5968999" cy="580433"/>
                          </a:xfrm>
                        </wpg:grpSpPr>
                        <wps:wsp>
                          <wps:cNvPr id="1073741825" name="Shape 1073741825"/>
                          <wps:cNvSpPr/>
                          <wps:spPr>
                            <a:xfrm>
                              <a:off x="-1" y="0"/>
                              <a:ext cx="5969001" cy="580434"/>
                            </a:xfrm>
                            <a:prstGeom prst="rect">
                              <a:avLst/>
                            </a:prstGeom>
                            <a:gradFill flip="none" rotWithShape="1">
                              <a:gsLst>
                                <a:gs pos="0">
                                  <a:schemeClr val="accent1">
                                    <a:hueOff val="357503"/>
                                    <a:satOff val="54545"/>
                                    <a:lumOff val="29273"/>
                                  </a:schemeClr>
                                </a:gs>
                                <a:gs pos="35000">
                                  <a:srgbClr val="BDD4FF"/>
                                </a:gs>
                                <a:gs pos="100000">
                                  <a:schemeClr val="accent1">
                                    <a:hueOff val="418253"/>
                                    <a:satOff val="54545"/>
                                    <a:lumOff val="42493"/>
                                  </a:schemeClr>
                                </a:gs>
                              </a:gsLst>
                              <a:lin ang="16200000" scaled="0"/>
                            </a:gradFill>
                            <a:ln w="12700" cap="flat">
                              <a:noFill/>
                              <a:miter lim="400000"/>
                            </a:ln>
                            <a:effectLst>
                              <a:outerShdw sx="100000" sy="100000" kx="0" ky="0" algn="b" rotWithShape="0" blurRad="38100" dist="20000" dir="5400000">
                                <a:srgbClr val="000000">
                                  <a:alpha val="38000"/>
                                </a:srgbClr>
                              </a:outerShdw>
                            </a:effectLst>
                          </wps:spPr>
                          <wps:bodyPr/>
                        </wps:wsp>
                        <wps:wsp>
                          <wps:cNvPr id="1073741826" name="Shape 1073741826"/>
                          <wps:cNvSpPr txBox="1"/>
                          <wps:spPr>
                            <a:xfrm>
                              <a:off x="0" y="0"/>
                              <a:ext cx="5968999" cy="580434"/>
                            </a:xfrm>
                            <a:prstGeom prst="rect">
                              <a:avLst/>
                            </a:prstGeom>
                            <a:noFill/>
                            <a:ln w="12700" cap="flat">
                              <a:noFill/>
                              <a:miter lim="400000"/>
                            </a:ln>
                            <a:effectLst/>
                          </wps:spPr>
                          <wps:txbx>
                            <w:txbxContent>
                              <w:p>
                                <w:pPr>
                                  <w:pStyle w:val="Caption"/>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sz w:val="22"/>
                                    <w:szCs w:val="22"/>
                                    <w:rtl w:val="0"/>
                                    <w:lang w:val="en-US"/>
                                  </w:rPr>
                                  <w:t xml:space="preserve">3. Seek further advice from the Equality Advisory Support Service a call on 0808 800 0082. For further information their website is: http://www.equalityadvisoryservice.com/app/ask  </w:t>
                                </w:r>
                                <w:r>
                                  <w:rPr>
                                    <w:sz w:val="22"/>
                                    <w:szCs w:val="22"/>
                                    <w:lang w:val="en-US"/>
                                  </w:rPr>
                                </w:r>
                              </w:p>
                            </w:txbxContent>
                          </wps:txbx>
                          <wps:bodyPr wrap="square" lIns="78231" tIns="78231" rIns="78231" bIns="78231" numCol="1" anchor="ctr">
                            <a:noAutofit/>
                          </wps:bodyPr>
                        </wps:wsp>
                      </wpg:grpSp>
                      <wpg:grpSp>
                        <wpg:cNvPr id="1073741830" name="Group 1073741830"/>
                        <wpg:cNvGrpSpPr/>
                        <wpg:grpSpPr>
                          <a:xfrm>
                            <a:off x="0" y="879124"/>
                            <a:ext cx="5969000" cy="1102286"/>
                            <a:chOff x="0" y="0"/>
                            <a:chExt cx="5968999" cy="1102285"/>
                          </a:xfrm>
                        </wpg:grpSpPr>
                        <wps:wsp>
                          <wps:cNvPr id="1073741828" name="Shape 1073741828"/>
                          <wps:cNvSpPr/>
                          <wps:spPr>
                            <a:xfrm>
                              <a:off x="0" y="0"/>
                              <a:ext cx="5969000" cy="110228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035"/>
                                  </a:moveTo>
                                  <a:lnTo>
                                    <a:pt x="11299" y="14035"/>
                                  </a:lnTo>
                                  <a:lnTo>
                                    <a:pt x="11299" y="16200"/>
                                  </a:lnTo>
                                  <a:lnTo>
                                    <a:pt x="11797" y="16200"/>
                                  </a:lnTo>
                                  <a:lnTo>
                                    <a:pt x="10800" y="21600"/>
                                  </a:lnTo>
                                  <a:lnTo>
                                    <a:pt x="9803" y="16200"/>
                                  </a:lnTo>
                                  <a:lnTo>
                                    <a:pt x="10301" y="16200"/>
                                  </a:lnTo>
                                  <a:lnTo>
                                    <a:pt x="10301" y="14035"/>
                                  </a:lnTo>
                                  <a:lnTo>
                                    <a:pt x="0" y="14035"/>
                                  </a:lnTo>
                                  <a:lnTo>
                                    <a:pt x="0" y="0"/>
                                  </a:lnTo>
                                  <a:lnTo>
                                    <a:pt x="21600" y="0"/>
                                  </a:lnTo>
                                  <a:close/>
                                </a:path>
                              </a:pathLst>
                            </a:custGeom>
                            <a:gradFill flip="none" rotWithShape="1">
                              <a:gsLst>
                                <a:gs pos="0">
                                  <a:schemeClr val="accent1">
                                    <a:hueOff val="357503"/>
                                    <a:satOff val="54545"/>
                                    <a:lumOff val="29273"/>
                                  </a:schemeClr>
                                </a:gs>
                                <a:gs pos="35000">
                                  <a:srgbClr val="BDD4FF"/>
                                </a:gs>
                                <a:gs pos="100000">
                                  <a:schemeClr val="accent1">
                                    <a:hueOff val="418253"/>
                                    <a:satOff val="54545"/>
                                    <a:lumOff val="42493"/>
                                  </a:schemeClr>
                                </a:gs>
                              </a:gsLst>
                              <a:lin ang="16200000" scaled="0"/>
                            </a:gradFill>
                            <a:ln w="12700" cap="flat">
                              <a:noFill/>
                              <a:miter lim="400000"/>
                            </a:ln>
                            <a:effectLst>
                              <a:outerShdw sx="100000" sy="100000" kx="0" ky="0" algn="b" rotWithShape="0" blurRad="38100" dist="20000" dir="5400000">
                                <a:srgbClr val="000000">
                                  <a:alpha val="38000"/>
                                </a:srgbClr>
                              </a:outerShdw>
                            </a:effectLst>
                          </wps:spPr>
                          <wps:bodyPr/>
                        </wps:wsp>
                        <wps:wsp>
                          <wps:cNvPr id="1073741829" name="Shape 1073741829"/>
                          <wps:cNvSpPr txBox="1"/>
                          <wps:spPr>
                            <a:xfrm>
                              <a:off x="0" y="0"/>
                              <a:ext cx="5969000" cy="716233"/>
                            </a:xfrm>
                            <a:prstGeom prst="rect">
                              <a:avLst/>
                            </a:prstGeom>
                            <a:noFill/>
                            <a:ln w="12700" cap="flat">
                              <a:noFill/>
                              <a:miter lim="400000"/>
                            </a:ln>
                            <a:effectLst/>
                          </wps:spPr>
                          <wps:txbx>
                            <w:txbxContent>
                              <w:p>
                                <w:pPr>
                                  <w:pStyle w:val="Caption"/>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sz w:val="22"/>
                                    <w:szCs w:val="22"/>
                                    <w:rtl w:val="0"/>
                                    <w:lang w:val="en-US"/>
                                  </w:rPr>
                                  <w:t>2. If required, you can contact the LTA Safeguarding Team: safeguarding@lta.org.uk - they can assist in liaising with the club and investigating the matter. Alternatively, the NSPCC Whistleblowing advice line: 0800 028 0285; help@nspcc.org.uk  can be contacted.</w:t>
                                </w:r>
                              </w:p>
                            </w:txbxContent>
                          </wps:txbx>
                          <wps:bodyPr wrap="square" lIns="78231" tIns="78231" rIns="78231" bIns="78231" numCol="1" anchor="ctr">
                            <a:noAutofit/>
                          </wps:bodyPr>
                        </wps:wsp>
                      </wpg:grpSp>
                      <wpg:grpSp>
                        <wpg:cNvPr id="1073741833" name="Group 1073741833"/>
                        <wpg:cNvGrpSpPr/>
                        <wpg:grpSpPr>
                          <a:xfrm>
                            <a:off x="0" y="0"/>
                            <a:ext cx="5969000" cy="889874"/>
                            <a:chOff x="0" y="0"/>
                            <a:chExt cx="5968999" cy="889873"/>
                          </a:xfrm>
                        </wpg:grpSpPr>
                        <wps:wsp>
                          <wps:cNvPr id="1073741831" name="Shape 1073741831"/>
                          <wps:cNvSpPr/>
                          <wps:spPr>
                            <a:xfrm>
                              <a:off x="0" y="0"/>
                              <a:ext cx="5969000" cy="88987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035"/>
                                  </a:moveTo>
                                  <a:lnTo>
                                    <a:pt x="11203" y="14035"/>
                                  </a:lnTo>
                                  <a:lnTo>
                                    <a:pt x="11203" y="16200"/>
                                  </a:lnTo>
                                  <a:lnTo>
                                    <a:pt x="11605" y="16200"/>
                                  </a:lnTo>
                                  <a:lnTo>
                                    <a:pt x="10800" y="21600"/>
                                  </a:lnTo>
                                  <a:lnTo>
                                    <a:pt x="9995" y="16200"/>
                                  </a:lnTo>
                                  <a:lnTo>
                                    <a:pt x="10397" y="16200"/>
                                  </a:lnTo>
                                  <a:lnTo>
                                    <a:pt x="10397" y="14035"/>
                                  </a:lnTo>
                                  <a:lnTo>
                                    <a:pt x="0" y="14035"/>
                                  </a:lnTo>
                                  <a:lnTo>
                                    <a:pt x="0" y="0"/>
                                  </a:lnTo>
                                  <a:lnTo>
                                    <a:pt x="21600" y="0"/>
                                  </a:lnTo>
                                  <a:close/>
                                </a:path>
                              </a:pathLst>
                            </a:custGeom>
                            <a:gradFill flip="none" rotWithShape="1">
                              <a:gsLst>
                                <a:gs pos="0">
                                  <a:schemeClr val="accent1">
                                    <a:hueOff val="357503"/>
                                    <a:satOff val="54545"/>
                                    <a:lumOff val="29273"/>
                                  </a:schemeClr>
                                </a:gs>
                                <a:gs pos="35000">
                                  <a:srgbClr val="BDD4FF"/>
                                </a:gs>
                                <a:gs pos="100000">
                                  <a:schemeClr val="accent1">
                                    <a:hueOff val="418253"/>
                                    <a:satOff val="54545"/>
                                    <a:lumOff val="42493"/>
                                  </a:schemeClr>
                                </a:gs>
                              </a:gsLst>
                              <a:lin ang="16200000" scaled="0"/>
                            </a:gradFill>
                            <a:ln w="12700" cap="flat">
                              <a:noFill/>
                              <a:miter lim="400000"/>
                            </a:ln>
                            <a:effectLst>
                              <a:outerShdw sx="100000" sy="100000" kx="0" ky="0" algn="b" rotWithShape="0" blurRad="38100" dist="20000" dir="5400000">
                                <a:srgbClr val="000000">
                                  <a:alpha val="38000"/>
                                </a:srgbClr>
                              </a:outerShdw>
                            </a:effectLst>
                          </wps:spPr>
                          <wps:bodyPr/>
                        </wps:wsp>
                        <wps:wsp>
                          <wps:cNvPr id="1073741832" name="Shape 1073741832"/>
                          <wps:cNvSpPr txBox="1"/>
                          <wps:spPr>
                            <a:xfrm>
                              <a:off x="0" y="0"/>
                              <a:ext cx="5969000" cy="578214"/>
                            </a:xfrm>
                            <a:prstGeom prst="rect">
                              <a:avLst/>
                            </a:prstGeom>
                            <a:noFill/>
                            <a:ln w="12700" cap="flat">
                              <a:noFill/>
                              <a:miter lim="400000"/>
                            </a:ln>
                            <a:effectLst/>
                          </wps:spPr>
                          <wps:txbx>
                            <w:txbxContent>
                              <w:p>
                                <w:pPr>
                                  <w:pStyle w:val="Caption"/>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sz w:val="22"/>
                                    <w:szCs w:val="22"/>
                                    <w:rtl w:val="0"/>
                                    <w:lang w:val="en-US"/>
                                  </w:rPr>
                                  <w:t xml:space="preserve">1. Complain directly to the person or </w:t>
                                </w:r>
                                <w:r>
                                  <w:rPr>
                                    <w:sz w:val="22"/>
                                    <w:szCs w:val="22"/>
                                    <w:rtl w:val="0"/>
                                    <w:lang w:val="en-US"/>
                                  </w:rPr>
                                  <w:t>organisation</w:t>
                                </w:r>
                                <w:r>
                                  <w:rPr>
                                    <w:sz w:val="22"/>
                                    <w:szCs w:val="22"/>
                                    <w:rtl w:val="0"/>
                                    <w:lang w:val="en-US"/>
                                  </w:rPr>
                                  <w:t xml:space="preserve"> and seek resolution. In the first instance, this can often resolve many disputes or concerns.</w:t>
                                </w:r>
                              </w:p>
                            </w:txbxContent>
                          </wps:txbx>
                          <wps:bodyPr wrap="square" lIns="78231" tIns="78231" rIns="78231" bIns="78231" numCol="1" anchor="ctr">
                            <a:noAutofit/>
                          </wps:bodyPr>
                        </wps:wsp>
                      </wpg:grpSp>
                    </wpg:wgp>
                  </a:graphicData>
                </a:graphic>
              </wp:inline>
            </w:drawing>
          </mc:Choice>
          <mc:Fallback>
            <w:pict>
              <v:group id="_x0000_s1026" style="visibility:visible;width:470.0pt;height:200.9pt;" coordorigin="0,0" coordsize="5968999,2551093">
                <v:group id="_x0000_s1027" style="position:absolute;left:0;top:1970659;width:5968999;height:580434;" coordorigin="0,0" coordsize="5968999,580434">
                  <v:rect id="_x0000_s1028" style="position:absolute;left:0;top:0;width:5968999;height:580434;">
                    <v:fill angle="0fd" focus="0%" colors="35.0% #BDD4FF" color="#A2C3FF" opacity="100.0%" color2="#E6EEFF" o:opacity2="100.0%" type="gradientUnscaled"/>
                    <v:stroke on="f" weight="1.0pt" dashstyle="solid" endcap="flat" miterlimit="400.0%" joinstyle="miter" linestyle="single" startarrow="none" startarrowwidth="medium" startarrowlength="medium" endarrow="none" endarrowwidth="medium" endarrowlength="medium"/>
                    <v:shadow on="t" color="#000000" opacity="0.38" offset="0.0pt,1.6pt"/>
                  </v:rect>
                  <v:shape id="_x0000_s1029" type="#_x0000_t202" style="position:absolute;left:0;top:0;width:5968999;height:580434;">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sz w:val="22"/>
                              <w:szCs w:val="22"/>
                              <w:rtl w:val="0"/>
                              <w:lang w:val="en-US"/>
                            </w:rPr>
                            <w:t xml:space="preserve">3. Seek further advice from the Equality Advisory Support Service a call on 0808 800 0082. For further information their website is: http://www.equalityadvisoryservice.com/app/ask  </w:t>
                          </w:r>
                          <w:r>
                            <w:rPr>
                              <w:sz w:val="22"/>
                              <w:szCs w:val="22"/>
                              <w:lang w:val="en-US"/>
                            </w:rPr>
                          </w:r>
                        </w:p>
                      </w:txbxContent>
                    </v:textbox>
                  </v:shape>
                </v:group>
                <v:group id="_x0000_s1030" style="position:absolute;left:0;top:879124;width:5968999;height:1102285;" coordorigin="0,0" coordsize="5968999,1102285">
                  <v:shape id="_x0000_s1031" style="position:absolute;left:0;top:0;width:5968999;height:1102285;" coordorigin="0,0" coordsize="21600,21600" path="M 21600,14035 L 11299,14035 L 11299,16200 L 11797,16200 L 10800,21600 L 9803,16200 L 10301,16200 L 10301,14035 L 0,14035 L 0,0 L 21600,0 X E">
                    <v:fill angle="0fd" focus="0%" colors="35.0% #BDD4FF" color="#A2C3FF" opacity="100.0%" color2="#E6EEFF" o:opacity2="100.0%" type="gradientUnscaled"/>
                    <v:stroke on="f" weight="1.0pt" dashstyle="solid" endcap="flat" miterlimit="400.0%" joinstyle="miter" linestyle="single" startarrow="none" startarrowwidth="medium" startarrowlength="medium" endarrow="none" endarrowwidth="medium" endarrowlength="medium"/>
                    <v:shadow on="t" color="#000000" opacity="0.38" offset="0.0pt,1.6pt"/>
                  </v:shape>
                  <v:shape id="_x0000_s1032" type="#_x0000_t202" style="position:absolute;left:0;top:0;width:5968999;height:716232;">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sz w:val="22"/>
                              <w:szCs w:val="22"/>
                              <w:rtl w:val="0"/>
                              <w:lang w:val="en-US"/>
                            </w:rPr>
                            <w:t>2. If required, you can contact the LTA Safeguarding Team: safeguarding@lta.org.uk - they can assist in liaising with the club and investigating the matter. Alternatively, the NSPCC Whistleblowing advice line: 0800 028 0285; help@nspcc.org.uk  can be contacted.</w:t>
                          </w:r>
                        </w:p>
                      </w:txbxContent>
                    </v:textbox>
                  </v:shape>
                </v:group>
                <v:group id="_x0000_s1033" style="position:absolute;left:0;top:0;width:5968999;height:889874;" coordorigin="0,0" coordsize="5968999,889874">
                  <v:shape id="_x0000_s1034" style="position:absolute;left:0;top:0;width:5968999;height:889874;" coordorigin="0,0" coordsize="21600,21600" path="M 21600,14035 L 11203,14035 L 11203,16200 L 11605,16200 L 10800,21600 L 9995,16200 L 10397,16200 L 10397,14035 L 0,14035 L 0,0 L 21600,0 X E">
                    <v:fill angle="0fd" focus="0%" colors="35.0% #BDD4FF" color="#A2C3FF" opacity="100.0%" color2="#E6EEFF" o:opacity2="100.0%" type="gradientUnscaled"/>
                    <v:stroke on="f" weight="1.0pt" dashstyle="solid" endcap="flat" miterlimit="400.0%" joinstyle="miter" linestyle="single" startarrow="none" startarrowwidth="medium" startarrowlength="medium" endarrow="none" endarrowwidth="medium" endarrowlength="medium"/>
                    <v:shadow on="t" color="#000000" opacity="0.38" offset="0.0pt,1.6pt"/>
                  </v:shape>
                  <v:shape id="_x0000_s1035" type="#_x0000_t202" style="position:absolute;left:0;top:0;width:5968999;height:578213;">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sz w:val="22"/>
                              <w:szCs w:val="22"/>
                              <w:rtl w:val="0"/>
                              <w:lang w:val="en-US"/>
                            </w:rPr>
                            <w:t xml:space="preserve">1. Complain directly to the person or </w:t>
                          </w:r>
                          <w:r>
                            <w:rPr>
                              <w:sz w:val="22"/>
                              <w:szCs w:val="22"/>
                              <w:rtl w:val="0"/>
                              <w:lang w:val="en-US"/>
                            </w:rPr>
                            <w:t>organisation</w:t>
                          </w:r>
                          <w:r>
                            <w:rPr>
                              <w:sz w:val="22"/>
                              <w:szCs w:val="22"/>
                              <w:rtl w:val="0"/>
                              <w:lang w:val="en-US"/>
                            </w:rPr>
                            <w:t xml:space="preserve"> and seek resolution. In the first instance, this can often resolve many disputes or concerns.</w:t>
                          </w:r>
                        </w:p>
                      </w:txbxContent>
                    </v:textbox>
                  </v:shape>
                </v:group>
              </v:group>
            </w:pict>
          </mc:Fallback>
        </mc:AlternateContent>
      </w:r>
    </w:p>
    <w:p>
      <w:pPr>
        <w:pStyle w:val="Body"/>
        <w:rPr>
          <w:rFonts w:ascii="Arial" w:cs="Arial" w:hAnsi="Arial" w:eastAsia="Arial"/>
          <w:sz w:val="28"/>
          <w:szCs w:val="28"/>
        </w:rPr>
      </w:pPr>
      <w:r>
        <w:rPr>
          <w:rFonts w:ascii="Arial" w:hAnsi="Arial"/>
          <w:sz w:val="28"/>
          <w:szCs w:val="28"/>
          <w:rtl w:val="0"/>
          <w:lang w:val="en-US"/>
        </w:rPr>
        <w:t>If someone comes to you with a concern around discrimination, listen to their complaint, reassure them and advise them of the routes listed above (1-3).</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Breaches of this Policy and/or failure to comply with the outlined responsibilities may result in the following by the LTA, Tennis Scotland, Tennis Wales and/or the Tennis Foundation:</w:t>
      </w:r>
    </w:p>
    <w:p>
      <w:pPr>
        <w:pStyle w:val="Body"/>
        <w:rPr>
          <w:rFonts w:ascii="Arial" w:cs="Arial" w:hAnsi="Arial" w:eastAsia="Arial"/>
          <w:sz w:val="28"/>
          <w:szCs w:val="28"/>
        </w:rPr>
      </w:pPr>
    </w:p>
    <w:p>
      <w:pPr>
        <w:pStyle w:val="List Paragraph"/>
        <w:numPr>
          <w:ilvl w:val="0"/>
          <w:numId w:val="20"/>
        </w:numPr>
        <w:bidi w:val="0"/>
        <w:ind w:right="0"/>
        <w:jc w:val="left"/>
        <w:rPr>
          <w:rFonts w:ascii="Arial" w:hAnsi="Arial"/>
          <w:sz w:val="28"/>
          <w:szCs w:val="28"/>
          <w:rtl w:val="0"/>
          <w:lang w:val="en-US"/>
        </w:rPr>
      </w:pPr>
      <w:r>
        <w:rPr>
          <w:rFonts w:ascii="Arial" w:hAnsi="Arial"/>
          <w:sz w:val="28"/>
          <w:szCs w:val="28"/>
          <w:rtl w:val="0"/>
          <w:lang w:val="en-US"/>
        </w:rPr>
        <w:t xml:space="preserve">Venues </w:t>
      </w:r>
      <w:r>
        <w:rPr>
          <w:rFonts w:ascii="Arial" w:hAnsi="Arial" w:hint="default"/>
          <w:sz w:val="28"/>
          <w:szCs w:val="28"/>
          <w:rtl w:val="0"/>
          <w:lang w:val="en-US"/>
        </w:rPr>
        <w:t xml:space="preserve">– </w:t>
      </w:r>
      <w:r>
        <w:rPr>
          <w:rFonts w:ascii="Arial" w:hAnsi="Arial"/>
          <w:sz w:val="28"/>
          <w:szCs w:val="28"/>
          <w:rtl w:val="0"/>
          <w:lang w:val="en-US"/>
        </w:rPr>
        <w:t xml:space="preserve">Potential removal of LTA accreditation </w:t>
      </w:r>
    </w:p>
    <w:p>
      <w:pPr>
        <w:pStyle w:val="List Paragraph"/>
        <w:numPr>
          <w:ilvl w:val="0"/>
          <w:numId w:val="20"/>
        </w:numPr>
        <w:bidi w:val="0"/>
        <w:ind w:right="0"/>
        <w:jc w:val="left"/>
        <w:rPr>
          <w:rFonts w:ascii="Arial" w:hAnsi="Arial"/>
          <w:sz w:val="28"/>
          <w:szCs w:val="28"/>
          <w:rtl w:val="0"/>
          <w:lang w:val="en-US"/>
        </w:rPr>
      </w:pPr>
      <w:r>
        <w:rPr>
          <w:rFonts w:ascii="Arial" w:hAnsi="Arial"/>
          <w:sz w:val="28"/>
          <w:szCs w:val="28"/>
          <w:rtl w:val="0"/>
          <w:lang w:val="en-US"/>
        </w:rPr>
        <w:t xml:space="preserve">Staff </w:t>
      </w:r>
      <w:r>
        <w:rPr>
          <w:rFonts w:ascii="Arial" w:hAnsi="Arial" w:hint="default"/>
          <w:sz w:val="28"/>
          <w:szCs w:val="28"/>
          <w:rtl w:val="0"/>
          <w:lang w:val="en-US"/>
        </w:rPr>
        <w:t xml:space="preserve">– </w:t>
      </w:r>
      <w:r>
        <w:rPr>
          <w:rFonts w:ascii="Arial" w:hAnsi="Arial"/>
          <w:sz w:val="28"/>
          <w:szCs w:val="28"/>
          <w:rtl w:val="0"/>
          <w:lang w:val="en-US"/>
        </w:rPr>
        <w:t>disciplinary action leading to possible dismissal and legal action.</w:t>
      </w:r>
    </w:p>
    <w:p>
      <w:pPr>
        <w:pStyle w:val="List Paragraph"/>
        <w:numPr>
          <w:ilvl w:val="0"/>
          <w:numId w:val="20"/>
        </w:numPr>
        <w:bidi w:val="0"/>
        <w:ind w:right="0"/>
        <w:jc w:val="left"/>
        <w:rPr>
          <w:rFonts w:ascii="Arial" w:hAnsi="Arial"/>
          <w:sz w:val="28"/>
          <w:szCs w:val="28"/>
          <w:rtl w:val="0"/>
          <w:lang w:val="en-US"/>
        </w:rPr>
      </w:pPr>
      <w:r>
        <w:rPr>
          <w:rFonts w:ascii="Arial" w:hAnsi="Arial"/>
          <w:sz w:val="28"/>
          <w:szCs w:val="28"/>
          <w:rtl w:val="0"/>
          <w:lang w:val="en-US"/>
        </w:rPr>
        <w:t xml:space="preserve">Contracted consultants, officials and coaches </w:t>
      </w:r>
      <w:r>
        <w:rPr>
          <w:rFonts w:ascii="Arial" w:hAnsi="Arial" w:hint="default"/>
          <w:sz w:val="28"/>
          <w:szCs w:val="28"/>
          <w:rtl w:val="0"/>
          <w:lang w:val="en-US"/>
        </w:rPr>
        <w:t xml:space="preserve">– </w:t>
      </w:r>
      <w:r>
        <w:rPr>
          <w:rFonts w:ascii="Arial" w:hAnsi="Arial"/>
          <w:sz w:val="28"/>
          <w:szCs w:val="28"/>
          <w:rtl w:val="0"/>
          <w:lang w:val="en-US"/>
        </w:rPr>
        <w:t xml:space="preserve">termination of current and future roles within all four </w:t>
      </w:r>
      <w:r>
        <w:rPr>
          <w:rFonts w:ascii="Arial" w:hAnsi="Arial"/>
          <w:sz w:val="28"/>
          <w:szCs w:val="28"/>
          <w:rtl w:val="0"/>
          <w:lang w:val="en-US"/>
        </w:rPr>
        <w:t>organisations</w:t>
      </w:r>
      <w:r>
        <w:rPr>
          <w:rFonts w:ascii="Arial" w:hAnsi="Arial"/>
          <w:sz w:val="28"/>
          <w:szCs w:val="28"/>
          <w:rtl w:val="0"/>
          <w:lang w:val="en-US"/>
        </w:rPr>
        <w:t xml:space="preserve"> and possible legal action.</w:t>
      </w:r>
    </w:p>
    <w:p>
      <w:pPr>
        <w:pStyle w:val="List Paragraph"/>
        <w:numPr>
          <w:ilvl w:val="0"/>
          <w:numId w:val="20"/>
        </w:numPr>
        <w:bidi w:val="0"/>
        <w:ind w:right="0"/>
        <w:jc w:val="left"/>
        <w:rPr>
          <w:rFonts w:ascii="Arial" w:hAnsi="Arial"/>
          <w:sz w:val="28"/>
          <w:szCs w:val="28"/>
          <w:rtl w:val="0"/>
          <w:lang w:val="en-US"/>
        </w:rPr>
      </w:pPr>
      <w:r>
        <w:rPr>
          <w:rFonts w:ascii="Arial" w:hAnsi="Arial"/>
          <w:sz w:val="28"/>
          <w:szCs w:val="28"/>
          <w:rtl w:val="0"/>
          <w:lang w:val="en-US"/>
        </w:rPr>
        <w:t xml:space="preserve">Recruited volunteers, including </w:t>
      </w:r>
      <w:r>
        <w:rPr>
          <w:rFonts w:ascii="Arial" w:hAnsi="Arial"/>
          <w:sz w:val="28"/>
          <w:szCs w:val="28"/>
          <w:rtl w:val="0"/>
          <w:lang w:val="en-US"/>
        </w:rPr>
        <w:t>councillors</w:t>
      </w:r>
      <w:r>
        <w:rPr>
          <w:rFonts w:ascii="Arial" w:hAnsi="Arial"/>
          <w:sz w:val="28"/>
          <w:szCs w:val="28"/>
          <w:rtl w:val="0"/>
          <w:lang w:val="en-US"/>
        </w:rPr>
        <w:t xml:space="preserve"> and board members </w:t>
      </w:r>
      <w:r>
        <w:rPr>
          <w:rFonts w:ascii="Arial" w:hAnsi="Arial" w:hint="default"/>
          <w:sz w:val="28"/>
          <w:szCs w:val="28"/>
          <w:rtl w:val="0"/>
          <w:lang w:val="en-US"/>
        </w:rPr>
        <w:t xml:space="preserve">– </w:t>
      </w:r>
      <w:r>
        <w:rPr>
          <w:rFonts w:ascii="Arial" w:hAnsi="Arial"/>
          <w:sz w:val="28"/>
          <w:szCs w:val="28"/>
          <w:rtl w:val="0"/>
          <w:lang w:val="en-US"/>
        </w:rPr>
        <w:t xml:space="preserve">termination of current and future roles within all four </w:t>
      </w:r>
      <w:r>
        <w:rPr>
          <w:rFonts w:ascii="Arial" w:hAnsi="Arial"/>
          <w:sz w:val="28"/>
          <w:szCs w:val="28"/>
          <w:rtl w:val="0"/>
          <w:lang w:val="en-US"/>
        </w:rPr>
        <w:t>organisations</w:t>
      </w:r>
      <w:r>
        <w:rPr>
          <w:rFonts w:ascii="Arial" w:hAnsi="Arial"/>
          <w:sz w:val="28"/>
          <w:szCs w:val="28"/>
          <w:rtl w:val="0"/>
          <w:lang w:val="en-US"/>
        </w:rPr>
        <w:t xml:space="preserve"> and possible legal action.</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Where an appeal is lodged in response to a safeguarding decision made by the LTA Safeguarding Team and Safeguarding and Protection Committee and/or Licensing and Registration Committee, an independent appeal body such as Sport Resolutions may be used. Their decision is final.</w:t>
      </w:r>
    </w:p>
    <w:p>
      <w:pPr>
        <w:pStyle w:val="Body"/>
        <w:tabs>
          <w:tab w:val="left" w:pos="840"/>
        </w:tabs>
        <w:rPr>
          <w:rFonts w:ascii="Arial" w:cs="Arial" w:hAnsi="Arial" w:eastAsia="Arial"/>
          <w:outline w:val="0"/>
          <w:color w:val="ff0000"/>
          <w:sz w:val="28"/>
          <w:szCs w:val="28"/>
          <w:u w:color="ff0000"/>
          <w:lang w:val="en-US"/>
          <w14:textFill>
            <w14:solidFill>
              <w14:srgbClr w14:val="FF0000"/>
            </w14:solidFill>
          </w14:textFill>
        </w:rPr>
      </w:pPr>
    </w:p>
    <w:tbl>
      <w:tblPr>
        <w:tblW w:w="1070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1"/>
        <w:gridCol w:w="5344"/>
      </w:tblGrid>
      <w:tr>
        <w:tblPrEx>
          <w:shd w:val="clear" w:color="auto" w:fill="ced7e7"/>
        </w:tblPrEx>
        <w:trPr>
          <w:trHeight w:val="260" w:hRule="atLeast"/>
        </w:trPr>
        <w:tc>
          <w:tcPr>
            <w:tcW w:type="dxa" w:w="5361"/>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2"/>
              </w:numPr>
              <w:rPr>
                <w:rFonts w:ascii="Calibri" w:cs="Calibri" w:hAnsi="Calibri" w:eastAsia="Calibri"/>
                <w:sz w:val="22"/>
                <w:szCs w:val="22"/>
                <w:lang w:val="en-US"/>
              </w:rPr>
            </w:pPr>
            <w:r>
              <w:rPr>
                <w:rFonts w:ascii="Calibri" w:cs="Calibri" w:hAnsi="Calibri" w:eastAsia="Calibri"/>
                <w:sz w:val="22"/>
                <w:szCs w:val="22"/>
                <w:shd w:val="nil" w:color="auto" w:fill="auto"/>
                <w:rtl w:val="0"/>
                <w:lang w:val="en-US"/>
              </w:rPr>
              <w:t>Safeguarding Policy</w:t>
            </w:r>
          </w:p>
        </w:tc>
        <w:tc>
          <w:tcPr>
            <w:tcW w:type="dxa" w:w="534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5361"/>
            <w:tcBorders>
              <w:top w:val="nil"/>
              <w:left w:val="single" w:color="ffffff" w:sz="8" w:space="0" w:shadow="0" w:frame="0"/>
              <w:bottom w:val="single" w:color="ffffff" w:sz="8" w:space="0" w:shadow="0" w:frame="0"/>
              <w:right w:val="nil"/>
            </w:tcBorders>
            <w:shd w:val="clear" w:color="auto" w:fill="e8ecf3"/>
            <w:tcMar>
              <w:top w:type="dxa" w:w="0"/>
              <w:left w:type="dxa" w:w="0"/>
              <w:bottom w:type="dxa" w:w="0"/>
              <w:right w:type="dxa" w:w="0"/>
            </w:tcMar>
            <w:vAlign w:val="top"/>
          </w:tcPr>
          <w:p/>
        </w:tc>
        <w:tc>
          <w:tcPr>
            <w:tcW w:type="dxa" w:w="534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5361"/>
            <w:tcBorders>
              <w:top w:val="single" w:color="ffffff" w:sz="8" w:space="0" w:shadow="0" w:frame="0"/>
              <w:left w:val="single" w:color="ffffff" w:sz="8" w:space="0" w:shadow="0" w:frame="0"/>
              <w:bottom w:val="single" w:color="ffffff" w:sz="8" w:space="0" w:shadow="0" w:frame="0"/>
              <w:right w:val="nil"/>
            </w:tcBorders>
            <w:shd w:val="clear" w:color="auto" w:fill="ced7e7"/>
            <w:tcMar>
              <w:top w:type="dxa" w:w="0"/>
              <w:left w:type="dxa" w:w="0"/>
              <w:bottom w:type="dxa" w:w="0"/>
              <w:right w:type="dxa" w:w="0"/>
            </w:tcMar>
            <w:vAlign w:val="top"/>
          </w:tcPr>
          <w:p/>
        </w:tc>
        <w:tc>
          <w:tcPr>
            <w:tcW w:type="dxa" w:w="534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5361"/>
            <w:tcBorders>
              <w:top w:val="single" w:color="ffffff" w:sz="8" w:space="0" w:shadow="0" w:frame="0"/>
              <w:left w:val="single" w:color="ffffff" w:sz="8" w:space="0" w:shadow="0" w:frame="0"/>
              <w:bottom w:val="single" w:color="ffffff" w:sz="8" w:space="0" w:shadow="0" w:frame="0"/>
              <w:right w:val="nil"/>
            </w:tcBorders>
            <w:shd w:val="clear" w:color="auto" w:fill="e8ecf3"/>
            <w:tcMar>
              <w:top w:type="dxa" w:w="0"/>
              <w:left w:type="dxa" w:w="0"/>
              <w:bottom w:type="dxa" w:w="0"/>
              <w:right w:type="dxa" w:w="0"/>
            </w:tcMar>
            <w:vAlign w:val="top"/>
          </w:tcPr>
          <w:p/>
        </w:tc>
        <w:tc>
          <w:tcPr>
            <w:tcW w:type="dxa" w:w="534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3"/>
              </w:numPr>
              <w:rPr>
                <w:rFonts w:ascii="Calibri" w:cs="Calibri" w:hAnsi="Calibri" w:eastAsia="Calibri"/>
                <w:sz w:val="22"/>
                <w:szCs w:val="22"/>
                <w:lang w:val="en-US"/>
              </w:rPr>
            </w:pPr>
            <w:r>
              <w:rPr>
                <w:rFonts w:ascii="Calibri" w:cs="Calibri" w:hAnsi="Calibri" w:eastAsia="Calibri"/>
                <w:sz w:val="22"/>
                <w:szCs w:val="22"/>
                <w:shd w:val="nil" w:color="auto" w:fill="auto"/>
                <w:rtl w:val="0"/>
                <w:lang w:val="en-US"/>
              </w:rPr>
              <w:t>Whistle-blowing Policy</w:t>
            </w:r>
          </w:p>
        </w:tc>
      </w:tr>
      <w:tr>
        <w:tblPrEx>
          <w:shd w:val="clear" w:color="auto" w:fill="ced7e7"/>
        </w:tblPrEx>
        <w:trPr>
          <w:trHeight w:val="500" w:hRule="atLeast"/>
        </w:trPr>
        <w:tc>
          <w:tcPr>
            <w:tcW w:type="dxa" w:w="5361"/>
            <w:tcBorders>
              <w:top w:val="single" w:color="ffffff" w:sz="8" w:space="0" w:shadow="0" w:frame="0"/>
              <w:left w:val="single" w:color="ffffff" w:sz="8" w:space="0" w:shadow="0" w:frame="0"/>
              <w:bottom w:val="single" w:color="ffffff" w:sz="8" w:space="0" w:shadow="0" w:frame="0"/>
              <w:right w:val="nil"/>
            </w:tcBorders>
            <w:shd w:val="clear" w:color="auto" w:fill="ced7e7"/>
            <w:tcMar>
              <w:top w:type="dxa" w:w="0"/>
              <w:left w:type="dxa" w:w="0"/>
              <w:bottom w:type="dxa" w:w="0"/>
              <w:right w:type="dxa" w:w="0"/>
            </w:tcMar>
            <w:vAlign w:val="top"/>
          </w:tcPr>
          <w:p/>
        </w:tc>
        <w:tc>
          <w:tcPr>
            <w:tcW w:type="dxa" w:w="534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4"/>
              </w:numPr>
              <w:rPr>
                <w:rFonts w:ascii="Calibri" w:cs="Calibri" w:hAnsi="Calibri" w:eastAsia="Calibri"/>
                <w:sz w:val="22"/>
                <w:szCs w:val="22"/>
                <w:lang w:val="en-US"/>
              </w:rPr>
            </w:pPr>
            <w:r>
              <w:rPr>
                <w:rFonts w:ascii="Calibri" w:cs="Calibri" w:hAnsi="Calibri" w:eastAsia="Calibri"/>
                <w:sz w:val="22"/>
                <w:szCs w:val="22"/>
                <w:shd w:val="nil" w:color="auto" w:fill="auto"/>
                <w:rtl w:val="0"/>
                <w:lang w:val="en-US"/>
              </w:rPr>
              <w:t>And others as may be identified from time to time.</w:t>
            </w:r>
          </w:p>
        </w:tc>
      </w:tr>
    </w:tbl>
    <w:p>
      <w:pPr>
        <w:pStyle w:val="List Paragraph"/>
        <w:numPr>
          <w:ilvl w:val="0"/>
          <w:numId w:val="21"/>
        </w:numPr>
        <w:bidi w:val="0"/>
        <w:ind w:right="0"/>
        <w:jc w:val="left"/>
        <w:rPr>
          <w:rFonts w:ascii="Arial" w:hAnsi="Arial"/>
          <w:b w:val="1"/>
          <w:bCs w:val="1"/>
          <w:sz w:val="28"/>
          <w:szCs w:val="28"/>
          <w:rtl w:val="0"/>
          <w:lang w:val="en-US"/>
        </w:rPr>
      </w:pPr>
      <w:r>
        <w:rPr>
          <w:rFonts w:ascii="Arial" w:hAnsi="Arial"/>
          <w:b w:val="1"/>
          <w:bCs w:val="1"/>
          <w:sz w:val="28"/>
          <w:szCs w:val="28"/>
          <w:rtl w:val="0"/>
          <w:lang w:val="en-US"/>
        </w:rPr>
        <w:t>Related policies and guidance</w:t>
      </w:r>
    </w:p>
    <w:p>
      <w:pPr>
        <w:pStyle w:val="Body"/>
        <w:rPr>
          <w:rFonts w:ascii="Arial" w:cs="Arial" w:hAnsi="Arial" w:eastAsia="Arial"/>
          <w:sz w:val="28"/>
          <w:szCs w:val="28"/>
          <w:lang w:val="en-US"/>
        </w:rPr>
      </w:pPr>
    </w:p>
    <w:p>
      <w:pPr>
        <w:pStyle w:val="Body"/>
        <w:jc w:val="both"/>
      </w:pPr>
      <w:r>
        <w:rPr>
          <w:rFonts w:ascii="Arial Unicode MS" w:cs="Arial Unicode MS" w:hAnsi="Arial Unicode MS" w:eastAsia="Arial Unicode MS"/>
          <w:b w:val="0"/>
          <w:bCs w:val="0"/>
          <w:i w:val="0"/>
          <w:iCs w:val="0"/>
          <w:sz w:val="28"/>
          <w:szCs w:val="28"/>
          <w:lang w:val="en-US"/>
        </w:rPr>
        <w:br w:type="page"/>
      </w:r>
    </w:p>
    <w:p>
      <w:pPr>
        <w:pStyle w:val="Body"/>
        <w:jc w:val="both"/>
        <w:rPr>
          <w:rFonts w:ascii="Arial" w:cs="Arial" w:hAnsi="Arial" w:eastAsia="Arial"/>
          <w:b w:val="1"/>
          <w:bCs w:val="1"/>
          <w:sz w:val="28"/>
          <w:szCs w:val="28"/>
        </w:rPr>
      </w:pPr>
      <w:r>
        <w:rPr>
          <w:rFonts w:ascii="Arial" w:hAnsi="Arial"/>
          <w:b w:val="1"/>
          <w:bCs w:val="1"/>
          <w:sz w:val="28"/>
          <w:szCs w:val="28"/>
          <w:rtl w:val="0"/>
          <w:lang w:val="en-US"/>
        </w:rPr>
        <w:t>Codes of Conduct</w:t>
      </w:r>
    </w:p>
    <w:p>
      <w:pPr>
        <w:pStyle w:val="Body"/>
        <w:jc w:val="both"/>
        <w:rPr>
          <w:rFonts w:ascii="Arial" w:cs="Arial" w:hAnsi="Arial" w:eastAsia="Arial"/>
          <w:b w:val="1"/>
          <w:bCs w:val="1"/>
          <w:sz w:val="28"/>
          <w:szCs w:val="28"/>
          <w:lang w:val="en-US"/>
        </w:rPr>
      </w:pPr>
    </w:p>
    <w:p>
      <w:pPr>
        <w:pStyle w:val="Body"/>
        <w:spacing w:line="276" w:lineRule="auto"/>
        <w:jc w:val="both"/>
        <w:rPr>
          <w:rFonts w:ascii="Arial" w:cs="Arial" w:hAnsi="Arial" w:eastAsia="Arial"/>
          <w:b w:val="1"/>
          <w:bCs w:val="1"/>
          <w:sz w:val="28"/>
          <w:szCs w:val="28"/>
        </w:rPr>
      </w:pPr>
      <w:r>
        <w:rPr>
          <w:rFonts w:ascii="Arial" w:hAnsi="Arial"/>
          <w:b w:val="1"/>
          <w:bCs w:val="1"/>
          <w:sz w:val="28"/>
          <w:szCs w:val="28"/>
          <w:rtl w:val="0"/>
          <w:lang w:val="en-US"/>
        </w:rPr>
        <w:t>All members of staff and volunteers agree to:</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Prioritise the well-being of all children and adults at risk at all times</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Treat all children and adults at risk fairly and with respect</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Be a positive role model. Act with integrity, even when no one is looking</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Help to create a safe and inclusive environment both on and off court</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Not allow any rough or dangerous behaviour, bullying or the use of bad or inappropriate language</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Report all allegations of abuse or poor practice to the club Welfare Officer</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Not use any sanctions that humiliate or harm a child or adult at risk</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Value and celebrate diversity and make all reasonable efforts to meet individual needs</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Keep clear boundaries between professional and personal life, including on social media</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Have the relevant consent from parents/carers, children and adults before taking or using photos and videos</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Refrain from making physical contact with children or adults unless it is necessary as part of an emergency or congratulatory (e.g. handshake / high five)</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Refrain from smoking and consuming alcohol during club activities or coaching sessions</w:t>
      </w:r>
    </w:p>
    <w:p>
      <w:pPr>
        <w:pStyle w:val="Default"/>
        <w:numPr>
          <w:ilvl w:val="0"/>
          <w:numId w:val="26"/>
        </w:numPr>
        <w:bidi w:val="0"/>
        <w:spacing w:line="201" w:lineRule="atLeast"/>
        <w:ind w:right="0"/>
        <w:jc w:val="both"/>
        <w:rPr>
          <w:rFonts w:ascii="Arial" w:hAnsi="Arial"/>
          <w:b w:val="1"/>
          <w:bCs w:val="1"/>
          <w:sz w:val="28"/>
          <w:szCs w:val="28"/>
          <w:rtl w:val="0"/>
          <w:lang w:val="en-US"/>
        </w:rPr>
      </w:pPr>
      <w:r>
        <w:rPr>
          <w:rFonts w:ascii="Arial" w:hAnsi="Arial"/>
          <w:b w:val="0"/>
          <w:bCs w:val="0"/>
          <w:sz w:val="28"/>
          <w:szCs w:val="28"/>
          <w:rtl w:val="0"/>
          <w:lang w:val="en-US"/>
        </w:rPr>
        <w:t>Ensure roles and responsibilities are clearly outlined and everyone has the required information and training</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Avoid being alone with a child or adult at risk unless there are exceptional circumstances</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Refrain from transporting children or adults at risk, unless this is required as part of a club activity (e.g. away match) and there is another adult in the vehicle</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Not abuse, neglect, harm or discriminate against anyone; or act in a way that may be interpreted as such</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Not have a relationship with anyone under 18 for whom they are coaching or responsible for</w:t>
      </w:r>
    </w:p>
    <w:p>
      <w:pPr>
        <w:pStyle w:val="Default"/>
        <w:numPr>
          <w:ilvl w:val="0"/>
          <w:numId w:val="26"/>
        </w:numPr>
        <w:bidi w:val="0"/>
        <w:spacing w:line="276" w:lineRule="auto"/>
        <w:ind w:right="0"/>
        <w:jc w:val="both"/>
        <w:rPr>
          <w:rFonts w:ascii="Arial" w:hAnsi="Arial"/>
          <w:sz w:val="28"/>
          <w:szCs w:val="28"/>
          <w:rtl w:val="0"/>
          <w:lang w:val="en-US"/>
        </w:rPr>
      </w:pPr>
      <w:r>
        <w:rPr>
          <w:rFonts w:ascii="Arial" w:hAnsi="Arial"/>
          <w:sz w:val="28"/>
          <w:szCs w:val="28"/>
          <w:rtl w:val="0"/>
          <w:lang w:val="en-US"/>
        </w:rPr>
        <w:t>Not to have a relationship with anyone over 18 whilst continuing to coach or be responsible for them</w:t>
      </w:r>
    </w:p>
    <w:p>
      <w:pPr>
        <w:pStyle w:val="List Paragraph"/>
        <w:numPr>
          <w:ilvl w:val="0"/>
          <w:numId w:val="27"/>
        </w:numPr>
        <w:bidi w:val="0"/>
        <w:ind w:right="0"/>
        <w:jc w:val="both"/>
        <w:rPr>
          <w:rFonts w:ascii="Arial" w:cs="Arial" w:hAnsi="Arial" w:eastAsia="Arial"/>
          <w:b w:val="1"/>
          <w:bCs w:val="1"/>
          <w:sz w:val="28"/>
          <w:szCs w:val="28"/>
          <w:rtl w:val="0"/>
        </w:rPr>
      </w:pPr>
    </w:p>
    <w:p>
      <w:pPr>
        <w:pStyle w:val="Default"/>
        <w:spacing w:line="201" w:lineRule="atLeast"/>
        <w:jc w:val="both"/>
        <w:rPr>
          <w:rFonts w:ascii="Arial" w:cs="Arial" w:hAnsi="Arial" w:eastAsia="Arial"/>
          <w:b w:val="1"/>
          <w:bCs w:val="1"/>
          <w:sz w:val="28"/>
          <w:szCs w:val="28"/>
        </w:rPr>
      </w:pPr>
    </w:p>
    <w:p>
      <w:pPr>
        <w:pStyle w:val="Body"/>
        <w:spacing w:line="276" w:lineRule="auto"/>
        <w:jc w:val="both"/>
        <w:rPr>
          <w:rFonts w:ascii="Arial" w:cs="Arial" w:hAnsi="Arial" w:eastAsia="Arial"/>
          <w:b w:val="1"/>
          <w:bCs w:val="1"/>
          <w:sz w:val="28"/>
          <w:szCs w:val="28"/>
        </w:rPr>
      </w:pPr>
      <w:r>
        <w:rPr>
          <w:rFonts w:ascii="Arial" w:hAnsi="Arial"/>
          <w:b w:val="1"/>
          <w:bCs w:val="1"/>
          <w:sz w:val="28"/>
          <w:szCs w:val="28"/>
          <w:rtl w:val="0"/>
          <w:lang w:val="en-US"/>
        </w:rPr>
        <w:t xml:space="preserve">All </w:t>
      </w:r>
      <w:r>
        <w:rPr>
          <w:rFonts w:ascii="Arial" w:hAnsi="Arial"/>
          <w:b w:val="1"/>
          <w:bCs w:val="1"/>
          <w:sz w:val="28"/>
          <w:szCs w:val="28"/>
          <w:rtl w:val="0"/>
          <w:lang w:val="en-US"/>
        </w:rPr>
        <w:t xml:space="preserve">players </w:t>
      </w:r>
      <w:r>
        <w:rPr>
          <w:rFonts w:ascii="Arial" w:hAnsi="Arial"/>
          <w:b w:val="1"/>
          <w:bCs w:val="1"/>
          <w:sz w:val="28"/>
          <w:szCs w:val="28"/>
          <w:rtl w:val="0"/>
          <w:lang w:val="en-US"/>
        </w:rPr>
        <w:t>agree to:</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Be friendly, supportive and welcoming to other children and adults</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Play fairly and honestly</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Respect club staff, volunteers and Officials and accept their decisions</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Behave, respect and listen to your coach</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Take care of your equipment and club property</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Respect the rights, dignity and worth of all participants regardless of age, gender, ability, race, culture, religion or sexual identity</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Not use bad, inappropriate or racist language, including on social media</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Not bully, intimidate or harass anyone, including on social media</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Not smoke, drink alcohol or drugs of any kind on club premises or whilst representing the club at competitions or events</w:t>
      </w:r>
    </w:p>
    <w:p>
      <w:pPr>
        <w:pStyle w:val="Default"/>
        <w:numPr>
          <w:ilvl w:val="0"/>
          <w:numId w:val="28"/>
        </w:numPr>
        <w:bidi w:val="0"/>
        <w:spacing w:line="276" w:lineRule="auto"/>
        <w:ind w:right="0"/>
        <w:jc w:val="both"/>
        <w:rPr>
          <w:rFonts w:ascii="Arial" w:hAnsi="Arial"/>
          <w:sz w:val="28"/>
          <w:szCs w:val="28"/>
          <w:rtl w:val="0"/>
          <w:lang w:val="en-US"/>
        </w:rPr>
      </w:pPr>
      <w:r>
        <w:rPr>
          <w:rFonts w:ascii="Arial" w:hAnsi="Arial"/>
          <w:sz w:val="28"/>
          <w:szCs w:val="28"/>
          <w:rtl w:val="0"/>
          <w:lang w:val="en-US"/>
        </w:rPr>
        <w:t>Talk to the club Welfare Officer about any concerns or worries they have about themselves or others</w:t>
      </w:r>
    </w:p>
    <w:p>
      <w:pPr>
        <w:pStyle w:val="List Paragraph"/>
        <w:numPr>
          <w:ilvl w:val="0"/>
          <w:numId w:val="29"/>
        </w:numPr>
        <w:bidi w:val="0"/>
        <w:ind w:right="0"/>
        <w:jc w:val="both"/>
        <w:rPr>
          <w:rFonts w:ascii="Arial" w:cs="Arial" w:hAnsi="Arial" w:eastAsia="Arial"/>
          <w:b w:val="1"/>
          <w:bCs w:val="1"/>
          <w:sz w:val="28"/>
          <w:szCs w:val="28"/>
          <w:rtl w:val="0"/>
        </w:rPr>
      </w:pPr>
    </w:p>
    <w:p>
      <w:pPr>
        <w:pStyle w:val="Default"/>
        <w:spacing w:line="276" w:lineRule="auto"/>
        <w:jc w:val="both"/>
        <w:rPr>
          <w:rFonts w:ascii="Arial" w:cs="Arial" w:hAnsi="Arial" w:eastAsia="Arial"/>
          <w:sz w:val="28"/>
          <w:szCs w:val="28"/>
        </w:rPr>
      </w:pPr>
    </w:p>
    <w:p>
      <w:pPr>
        <w:pStyle w:val="Body"/>
        <w:spacing w:line="276" w:lineRule="auto"/>
        <w:jc w:val="both"/>
        <w:rPr>
          <w:rFonts w:ascii="Arial" w:cs="Arial" w:hAnsi="Arial" w:eastAsia="Arial"/>
          <w:b w:val="1"/>
          <w:bCs w:val="1"/>
          <w:sz w:val="28"/>
          <w:szCs w:val="28"/>
          <w:lang w:val="en-US"/>
        </w:rPr>
      </w:pPr>
    </w:p>
    <w:p>
      <w:pPr>
        <w:pStyle w:val="Body"/>
        <w:spacing w:line="276" w:lineRule="auto"/>
        <w:jc w:val="both"/>
        <w:rPr>
          <w:rFonts w:ascii="Arial" w:cs="Arial" w:hAnsi="Arial" w:eastAsia="Arial"/>
          <w:b w:val="1"/>
          <w:bCs w:val="1"/>
          <w:sz w:val="28"/>
          <w:szCs w:val="28"/>
        </w:rPr>
      </w:pPr>
      <w:r>
        <w:rPr>
          <w:rFonts w:ascii="Arial" w:hAnsi="Arial"/>
          <w:b w:val="1"/>
          <w:bCs w:val="1"/>
          <w:sz w:val="28"/>
          <w:szCs w:val="28"/>
          <w:rtl w:val="0"/>
          <w:lang w:val="en-US"/>
        </w:rPr>
        <w:t>All adults agree to:</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Positively reinforce </w:t>
      </w:r>
      <w:r>
        <w:rPr>
          <w:rFonts w:ascii="Arial" w:hAnsi="Arial"/>
          <w:sz w:val="28"/>
          <w:szCs w:val="28"/>
          <w:rtl w:val="0"/>
          <w:lang w:val="en-US"/>
        </w:rPr>
        <w:t>players</w:t>
      </w:r>
      <w:r>
        <w:rPr>
          <w:rFonts w:ascii="Arial" w:hAnsi="Arial"/>
          <w:sz w:val="28"/>
          <w:szCs w:val="28"/>
          <w:rtl w:val="0"/>
          <w:lang w:val="en-US"/>
        </w:rPr>
        <w:t xml:space="preserve"> and show an interest in their tennis</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Use appropriate language at all times</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Be realistic and supportive</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Never ridicule or admonish a </w:t>
      </w:r>
      <w:r>
        <w:rPr>
          <w:rFonts w:ascii="Arial" w:hAnsi="Arial"/>
          <w:sz w:val="28"/>
          <w:szCs w:val="28"/>
          <w:rtl w:val="0"/>
          <w:lang w:val="en-US"/>
        </w:rPr>
        <w:t>player for</w:t>
      </w:r>
      <w:r>
        <w:rPr>
          <w:rFonts w:ascii="Arial" w:hAnsi="Arial"/>
          <w:sz w:val="28"/>
          <w:szCs w:val="28"/>
          <w:rtl w:val="0"/>
          <w:lang w:val="en-US"/>
        </w:rPr>
        <w:t xml:space="preserve"> making a mistake or losing a match</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Treat all children, adults, volunteers, coaches, officials and members of staff with respect</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Behave responsibly at the venue</w:t>
      </w:r>
      <w:r>
        <w:rPr>
          <w:rFonts w:ascii="Arial" w:hAnsi="Arial"/>
          <w:sz w:val="28"/>
          <w:szCs w:val="28"/>
          <w:rtl w:val="0"/>
          <w:lang w:val="en-US"/>
        </w:rPr>
        <w:t>.</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Accept the official</w:t>
      </w:r>
      <w:r>
        <w:rPr>
          <w:rFonts w:ascii="Arial" w:hAnsi="Arial" w:hint="default"/>
          <w:sz w:val="28"/>
          <w:szCs w:val="28"/>
          <w:rtl w:val="0"/>
          <w:lang w:val="en-US"/>
        </w:rPr>
        <w:t>’</w:t>
      </w:r>
      <w:r>
        <w:rPr>
          <w:rFonts w:ascii="Arial" w:hAnsi="Arial"/>
          <w:sz w:val="28"/>
          <w:szCs w:val="28"/>
          <w:rtl w:val="0"/>
          <w:lang w:val="en-US"/>
        </w:rPr>
        <w:t xml:space="preserve">s decisions and do not go on court or interfere with matches </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Encourage </w:t>
      </w:r>
      <w:r>
        <w:rPr>
          <w:rFonts w:ascii="Arial" w:hAnsi="Arial"/>
          <w:sz w:val="28"/>
          <w:szCs w:val="28"/>
          <w:rtl w:val="0"/>
          <w:lang w:val="en-US"/>
        </w:rPr>
        <w:t>players</w:t>
      </w:r>
      <w:r>
        <w:rPr>
          <w:rFonts w:ascii="Arial" w:hAnsi="Arial"/>
          <w:sz w:val="28"/>
          <w:szCs w:val="28"/>
          <w:rtl w:val="0"/>
          <w:lang w:val="en-US"/>
        </w:rPr>
        <w:t xml:space="preserve"> to play by the rules, and teach them that they can only do their best</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Deliver and collect </w:t>
      </w:r>
      <w:r>
        <w:rPr>
          <w:rFonts w:ascii="Arial" w:hAnsi="Arial"/>
          <w:sz w:val="28"/>
          <w:szCs w:val="28"/>
          <w:rtl w:val="0"/>
          <w:lang w:val="en-US"/>
        </w:rPr>
        <w:t>player</w:t>
      </w:r>
      <w:r>
        <w:rPr>
          <w:rFonts w:ascii="Arial" w:hAnsi="Arial"/>
          <w:sz w:val="28"/>
          <w:szCs w:val="28"/>
          <w:rtl w:val="0"/>
          <w:lang w:val="en-US"/>
        </w:rPr>
        <w:t xml:space="preserve"> punctually from the venue</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Take advice from coach and assist players to choose</w:t>
      </w:r>
      <w:r>
        <w:rPr>
          <w:rFonts w:ascii="Arial" w:hAnsi="Arial"/>
          <w:sz w:val="28"/>
          <w:szCs w:val="28"/>
          <w:rtl w:val="0"/>
          <w:lang w:val="en-US"/>
        </w:rPr>
        <w:t xml:space="preserve">  appropriate clothing for the weather conditions</w:t>
      </w:r>
    </w:p>
    <w:p>
      <w:pPr>
        <w:pStyle w:val="List Paragraph"/>
        <w:numPr>
          <w:ilvl w:val="0"/>
          <w:numId w:val="31"/>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Assist players to access and </w:t>
      </w:r>
      <w:r>
        <w:rPr>
          <w:rFonts w:ascii="Arial" w:hAnsi="Arial"/>
          <w:sz w:val="28"/>
          <w:szCs w:val="28"/>
          <w:rtl w:val="0"/>
          <w:lang w:val="en-US"/>
        </w:rPr>
        <w:t>understand</w:t>
      </w:r>
      <w:r>
        <w:rPr>
          <w:rFonts w:ascii="Arial" w:hAnsi="Arial"/>
          <w:sz w:val="28"/>
          <w:szCs w:val="28"/>
          <w:rtl w:val="0"/>
          <w:lang w:val="en-US"/>
        </w:rPr>
        <w:t xml:space="preserve"> </w:t>
      </w:r>
      <w:r>
        <w:rPr>
          <w:rFonts w:ascii="Arial" w:hAnsi="Arial"/>
          <w:sz w:val="28"/>
          <w:szCs w:val="28"/>
          <w:rtl w:val="0"/>
          <w:lang w:val="en-US"/>
        </w:rPr>
        <w:t xml:space="preserve">their code of conduct </w:t>
      </w:r>
    </w:p>
    <w:p>
      <w:pPr>
        <w:pStyle w:val="List Paragraph"/>
        <w:numPr>
          <w:ilvl w:val="0"/>
          <w:numId w:val="32"/>
        </w:numPr>
        <w:bidi w:val="0"/>
        <w:spacing w:line="276" w:lineRule="auto"/>
        <w:ind w:right="0"/>
        <w:jc w:val="both"/>
        <w:rPr>
          <w:rFonts w:ascii="Arial" w:hAnsi="Arial"/>
          <w:sz w:val="28"/>
          <w:szCs w:val="28"/>
          <w:rtl w:val="0"/>
          <w:lang w:val="en-US"/>
        </w:rPr>
      </w:pPr>
      <w:r>
        <w:rPr>
          <w:rFonts w:ascii="Arial" w:hAnsi="Arial"/>
          <w:sz w:val="28"/>
          <w:szCs w:val="28"/>
          <w:rtl w:val="0"/>
          <w:lang w:val="en-US"/>
        </w:rPr>
        <w:t>Adhere to your venue</w:t>
      </w:r>
      <w:r>
        <w:rPr>
          <w:rFonts w:ascii="Arial" w:hAnsi="Arial" w:hint="default"/>
          <w:sz w:val="28"/>
          <w:szCs w:val="28"/>
          <w:rtl w:val="0"/>
          <w:lang w:val="en-US"/>
        </w:rPr>
        <w:t>’</w:t>
      </w:r>
      <w:r>
        <w:rPr>
          <w:rFonts w:ascii="Arial" w:hAnsi="Arial"/>
          <w:sz w:val="28"/>
          <w:szCs w:val="28"/>
          <w:rtl w:val="0"/>
          <w:lang w:val="en-US"/>
        </w:rPr>
        <w:t>s safeguarding policy, diversity and inclusion policy, rules and regulations</w:t>
      </w:r>
    </w:p>
    <w:p>
      <w:pPr>
        <w:pStyle w:val="List Paragraph"/>
        <w:numPr>
          <w:ilvl w:val="0"/>
          <w:numId w:val="32"/>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Assist with provision of </w:t>
      </w:r>
      <w:r>
        <w:rPr>
          <w:rFonts w:ascii="Arial" w:hAnsi="Arial"/>
          <w:sz w:val="28"/>
          <w:szCs w:val="28"/>
          <w:rtl w:val="0"/>
          <w:lang w:val="en-US"/>
        </w:rPr>
        <w:t xml:space="preserve"> emergency contact details and any relevant information about</w:t>
      </w:r>
      <w:r>
        <w:rPr>
          <w:rFonts w:ascii="Arial" w:hAnsi="Arial"/>
          <w:sz w:val="28"/>
          <w:szCs w:val="28"/>
          <w:rtl w:val="0"/>
          <w:lang w:val="en-US"/>
        </w:rPr>
        <w:t xml:space="preserve"> player,</w:t>
      </w:r>
      <w:r>
        <w:rPr>
          <w:rFonts w:ascii="Arial" w:hAnsi="Arial"/>
          <w:sz w:val="28"/>
          <w:szCs w:val="28"/>
          <w:rtl w:val="0"/>
          <w:lang w:val="en-US"/>
        </w:rPr>
        <w:t xml:space="preserve">  including medical history</w:t>
      </w:r>
    </w:p>
    <w:p>
      <w:pPr>
        <w:pStyle w:val="List Paragraph"/>
        <w:numPr>
          <w:ilvl w:val="0"/>
          <w:numId w:val="33"/>
        </w:numPr>
        <w:bidi w:val="0"/>
        <w:ind w:right="0"/>
        <w:jc w:val="both"/>
        <w:rPr>
          <w:rFonts w:ascii="Arial" w:cs="Arial" w:hAnsi="Arial" w:eastAsia="Arial"/>
          <w:b w:val="1"/>
          <w:bCs w:val="1"/>
          <w:sz w:val="28"/>
          <w:szCs w:val="28"/>
          <w:rtl w:val="0"/>
        </w:rPr>
      </w:pPr>
    </w:p>
    <w:p>
      <w:pPr>
        <w:pStyle w:val="Body"/>
        <w:jc w:val="both"/>
        <w:rPr>
          <w:rFonts w:ascii="Arial" w:cs="Arial" w:hAnsi="Arial" w:eastAsia="Arial"/>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rPr>
          <w:rFonts w:ascii="Arial" w:cs="Arial" w:hAnsi="Arial" w:eastAsia="Arial"/>
          <w:b w:val="1"/>
          <w:bCs w:val="1"/>
          <w:sz w:val="28"/>
          <w:szCs w:val="28"/>
        </w:rPr>
      </w:pPr>
      <w:r>
        <w:rPr>
          <w:rFonts w:ascii="Arial" w:hAnsi="Arial"/>
          <w:b w:val="1"/>
          <w:bCs w:val="1"/>
          <w:sz w:val="28"/>
          <w:szCs w:val="28"/>
          <w:rtl w:val="0"/>
          <w:lang w:val="en-US"/>
        </w:rPr>
        <w:t>Appendix A:</w:t>
      </w:r>
    </w:p>
    <w:p>
      <w:pPr>
        <w:pStyle w:val="Body"/>
        <w:rPr>
          <w:rFonts w:ascii="Arial" w:cs="Arial" w:hAnsi="Arial" w:eastAsia="Arial"/>
          <w:b w:val="1"/>
          <w:bCs w:val="1"/>
          <w:sz w:val="28"/>
          <w:szCs w:val="28"/>
          <w:lang w:val="en-US"/>
        </w:rPr>
      </w:pPr>
    </w:p>
    <w:p>
      <w:pPr>
        <w:pStyle w:val="Body"/>
        <w:rPr>
          <w:rFonts w:ascii="Arial" w:cs="Arial" w:hAnsi="Arial" w:eastAsia="Arial"/>
          <w:b w:val="1"/>
          <w:bCs w:val="1"/>
          <w:sz w:val="28"/>
          <w:szCs w:val="28"/>
        </w:rPr>
      </w:pPr>
      <w:r>
        <w:rPr>
          <w:rFonts w:ascii="Arial" w:hAnsi="Arial"/>
          <w:b w:val="1"/>
          <w:bCs w:val="1"/>
          <w:sz w:val="28"/>
          <w:szCs w:val="28"/>
          <w:rtl w:val="0"/>
          <w:lang w:val="en-US"/>
        </w:rPr>
        <w:t>Glossary of terms</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Age:</w:t>
      </w:r>
      <w:r>
        <w:rPr>
          <w:rFonts w:ascii="Arial" w:hAnsi="Arial"/>
          <w:sz w:val="28"/>
          <w:szCs w:val="28"/>
          <w:rtl w:val="0"/>
          <w:lang w:val="en-US"/>
        </w:rPr>
        <w:t xml:space="preserve"> This refers to a person belonging to a particular age group, which can mean people of the same age (e.g. 32-year old</w:t>
      </w:r>
      <w:r>
        <w:rPr>
          <w:rFonts w:ascii="Arial" w:hAnsi="Arial" w:hint="default"/>
          <w:sz w:val="28"/>
          <w:szCs w:val="28"/>
          <w:rtl w:val="0"/>
          <w:lang w:val="en-US"/>
        </w:rPr>
        <w:t>’</w:t>
      </w:r>
      <w:r>
        <w:rPr>
          <w:rFonts w:ascii="Arial" w:hAnsi="Arial"/>
          <w:sz w:val="28"/>
          <w:szCs w:val="28"/>
          <w:rtl w:val="0"/>
          <w:lang w:val="en-US"/>
        </w:rPr>
        <w:t>s) or range of ages (e.g. 18 - 30-year old</w:t>
      </w:r>
      <w:r>
        <w:rPr>
          <w:rFonts w:ascii="Arial" w:hAnsi="Arial" w:hint="default"/>
          <w:sz w:val="28"/>
          <w:szCs w:val="28"/>
          <w:rtl w:val="0"/>
          <w:lang w:val="en-US"/>
        </w:rPr>
        <w:t>’</w:t>
      </w:r>
      <w:r>
        <w:rPr>
          <w:rFonts w:ascii="Arial" w:hAnsi="Arial"/>
          <w:sz w:val="28"/>
          <w:szCs w:val="28"/>
          <w:rtl w:val="0"/>
          <w:lang w:val="en-US"/>
        </w:rPr>
        <w:t>s, or people over 50).</w:t>
      </w:r>
    </w:p>
    <w:p>
      <w:pPr>
        <w:pStyle w:val="Body"/>
        <w:rPr>
          <w:rFonts w:ascii="Arial" w:cs="Arial" w:hAnsi="Arial" w:eastAsia="Arial"/>
          <w:b w:val="1"/>
          <w:bCs w:val="1"/>
          <w:sz w:val="28"/>
          <w:szCs w:val="28"/>
          <w:lang w:val="en-US"/>
        </w:rPr>
      </w:pPr>
    </w:p>
    <w:p>
      <w:pPr>
        <w:pStyle w:val="Body"/>
        <w:rPr>
          <w:rFonts w:ascii="Arial" w:cs="Arial" w:hAnsi="Arial" w:eastAsia="Arial"/>
          <w:b w:val="1"/>
          <w:bCs w:val="1"/>
          <w:sz w:val="28"/>
          <w:szCs w:val="28"/>
        </w:rPr>
      </w:pPr>
      <w:r>
        <w:rPr>
          <w:rFonts w:ascii="Arial" w:hAnsi="Arial"/>
          <w:b w:val="1"/>
          <w:bCs w:val="1"/>
          <w:sz w:val="28"/>
          <w:szCs w:val="28"/>
          <w:rtl w:val="0"/>
          <w:lang w:val="en-US"/>
        </w:rPr>
        <w:t>Bisexual</w:t>
      </w:r>
      <w:r>
        <w:rPr>
          <w:rFonts w:ascii="Arial" w:hAnsi="Arial"/>
          <w:spacing w:val="18"/>
          <w:sz w:val="28"/>
          <w:szCs w:val="28"/>
          <w:shd w:val="clear" w:color="auto" w:fill="ffffff"/>
          <w:rtl w:val="0"/>
        </w:rPr>
        <w:t xml:space="preserve"> </w:t>
      </w:r>
      <w:r>
        <w:rPr>
          <w:rFonts w:ascii="Arial" w:hAnsi="Arial"/>
          <w:b w:val="1"/>
          <w:bCs w:val="1"/>
          <w:sz w:val="28"/>
          <w:szCs w:val="28"/>
          <w:rtl w:val="0"/>
        </w:rPr>
        <w:t>or</w:t>
      </w:r>
      <w:r>
        <w:rPr>
          <w:rFonts w:ascii="Arial" w:hAnsi="Arial" w:hint="default"/>
          <w:b w:val="1"/>
          <w:bCs w:val="1"/>
          <w:sz w:val="28"/>
          <w:szCs w:val="28"/>
          <w:rtl w:val="0"/>
        </w:rPr>
        <w:t> </w:t>
      </w:r>
      <w:r>
        <w:rPr>
          <w:rFonts w:ascii="Arial" w:hAnsi="Arial"/>
          <w:b w:val="1"/>
          <w:bCs w:val="1"/>
          <w:sz w:val="28"/>
          <w:szCs w:val="28"/>
          <w:rtl w:val="0"/>
        </w:rPr>
        <w:t>Bi:</w:t>
      </w:r>
      <w:r>
        <w:rPr>
          <w:rFonts w:ascii="Arial" w:hAnsi="Arial" w:hint="default"/>
          <w:b w:val="1"/>
          <w:bCs w:val="1"/>
          <w:sz w:val="28"/>
          <w:szCs w:val="28"/>
          <w:rtl w:val="0"/>
        </w:rPr>
        <w:t> </w:t>
      </w:r>
      <w:r>
        <w:rPr>
          <w:rFonts w:ascii="Arial" w:hAnsi="Arial" w:hint="default"/>
          <w:sz w:val="28"/>
          <w:szCs w:val="28"/>
          <w:rtl w:val="0"/>
        </w:rPr>
        <w:t xml:space="preserve">– </w:t>
      </w:r>
      <w:r>
        <w:rPr>
          <w:rFonts w:ascii="Arial" w:hAnsi="Arial"/>
          <w:sz w:val="28"/>
          <w:szCs w:val="28"/>
          <w:rtl w:val="0"/>
          <w:lang w:val="en-US"/>
        </w:rPr>
        <w:t>refers to a person who has an emotional and/or sexual orientation towards more than one gender.</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Bullying:</w:t>
      </w:r>
      <w:r>
        <w:rPr>
          <w:rFonts w:ascii="Arial" w:hAnsi="Arial"/>
          <w:sz w:val="28"/>
          <w:szCs w:val="28"/>
          <w:rtl w:val="0"/>
          <w:lang w:val="en-US"/>
        </w:rPr>
        <w:t xml:space="preserve"> can involve any form of physical, emotional, sexual or discriminatory abuse. It can also include cyber-bullying </w:t>
      </w:r>
      <w:r>
        <w:rPr>
          <w:rFonts w:ascii="Arial" w:hAnsi="Arial" w:hint="default"/>
          <w:sz w:val="28"/>
          <w:szCs w:val="28"/>
          <w:rtl w:val="0"/>
          <w:lang w:val="en-US"/>
        </w:rPr>
        <w:t xml:space="preserve">– </w:t>
      </w:r>
      <w:r>
        <w:rPr>
          <w:rFonts w:ascii="Arial" w:hAnsi="Arial"/>
          <w:sz w:val="28"/>
          <w:szCs w:val="28"/>
          <w:rtl w:val="0"/>
          <w:lang w:val="en-US"/>
        </w:rPr>
        <w:t>using social media or mobile phones to perpetrate bullying.</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Direct discrimination:</w:t>
      </w:r>
      <w:r>
        <w:rPr>
          <w:rFonts w:ascii="Arial" w:hAnsi="Arial"/>
          <w:sz w:val="28"/>
          <w:szCs w:val="28"/>
          <w:rtl w:val="0"/>
          <w:lang w:val="en-US"/>
        </w:rPr>
        <w:t xml:space="preserve"> treating someone less favourably than another person because of a protected characteristic.</w:t>
      </w:r>
    </w:p>
    <w:p>
      <w:pPr>
        <w:pStyle w:val="Body"/>
        <w:rPr>
          <w:rFonts w:ascii="Arial" w:cs="Arial" w:hAnsi="Arial" w:eastAsia="Arial"/>
          <w:sz w:val="28"/>
          <w:szCs w:val="28"/>
          <w:lang w:val="en-US"/>
        </w:rPr>
      </w:pPr>
    </w:p>
    <w:p>
      <w:pPr>
        <w:pStyle w:val="Body"/>
        <w:rPr>
          <w:rFonts w:ascii="Arial" w:cs="Arial" w:hAnsi="Arial" w:eastAsia="Arial"/>
          <w:b w:val="1"/>
          <w:bCs w:val="1"/>
          <w:sz w:val="28"/>
          <w:szCs w:val="28"/>
          <w:lang w:val="en-US"/>
        </w:rPr>
      </w:pPr>
      <w:r>
        <w:rPr>
          <w:rFonts w:ascii="Arial" w:hAnsi="Arial"/>
          <w:b w:val="1"/>
          <w:bCs w:val="1"/>
          <w:sz w:val="28"/>
          <w:szCs w:val="28"/>
          <w:rtl w:val="0"/>
          <w:lang w:val="en-US"/>
        </w:rPr>
        <w:t>Disability: A person having a physical or mental impairment that has a substantial and long-term adverse effect on that person's ability to carry out normal day-to-day activities.</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Discrimination:</w:t>
      </w:r>
      <w:r>
        <w:rPr>
          <w:rFonts w:ascii="Arial" w:hAnsi="Arial"/>
          <w:sz w:val="28"/>
          <w:szCs w:val="28"/>
          <w:rtl w:val="0"/>
          <w:lang w:val="en-US"/>
        </w:rPr>
        <w:t xml:space="preserve"> treating someone in a less favourable way and causing them harm, because of their age, disability, gender reassignment, marriage or civil partnership, pregnancy or maternity, race, religion or belief, sex or sexual orientation.</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 xml:space="preserve">Discrimination by association: </w:t>
      </w:r>
      <w:r>
        <w:rPr>
          <w:rFonts w:ascii="Arial" w:hAnsi="Arial"/>
          <w:sz w:val="28"/>
          <w:szCs w:val="28"/>
          <w:rtl w:val="0"/>
          <w:lang w:val="en-US"/>
        </w:rPr>
        <w:t>discrimination against someone because they are associated with another person who possesses a protected characteristic.</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Discrimination by perception:</w:t>
      </w:r>
      <w:r>
        <w:rPr>
          <w:rFonts w:ascii="Arial" w:hAnsi="Arial"/>
          <w:sz w:val="28"/>
          <w:szCs w:val="28"/>
          <w:rtl w:val="0"/>
          <w:lang w:val="en-US"/>
        </w:rPr>
        <w:t xml:space="preserve"> discrimination against someone because of the belief that someone possesses a protected characteristic.</w:t>
      </w:r>
    </w:p>
    <w:p>
      <w:pPr>
        <w:pStyle w:val="Body"/>
        <w:rPr>
          <w:rFonts w:ascii="Arial" w:cs="Arial" w:hAnsi="Arial" w:eastAsia="Arial"/>
          <w:b w:val="1"/>
          <w:bCs w:val="1"/>
          <w:sz w:val="28"/>
          <w:szCs w:val="28"/>
          <w:lang w:val="en-US"/>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Diversity: </w:t>
      </w:r>
      <w:r>
        <w:rPr>
          <w:rFonts w:ascii="Arial" w:hAnsi="Arial"/>
          <w:sz w:val="28"/>
          <w:szCs w:val="28"/>
          <w:rtl w:val="0"/>
          <w:lang w:val="en-US"/>
        </w:rPr>
        <w:t>acknowledging and celebrating the differences between groups of people and  between individuals</w:t>
      </w:r>
      <w:r>
        <w:rPr>
          <w:rFonts w:ascii="Arial" w:hAnsi="Arial"/>
          <w:b w:val="1"/>
          <w:bCs w:val="1"/>
          <w:sz w:val="28"/>
          <w:szCs w:val="28"/>
          <w:rtl w:val="0"/>
          <w:lang w:val="en-US"/>
        </w:rPr>
        <w:t>.</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Equality</w:t>
      </w:r>
      <w:r>
        <w:rPr>
          <w:rFonts w:ascii="Arial" w:hAnsi="Arial"/>
          <w:sz w:val="28"/>
          <w:szCs w:val="28"/>
          <w:rtl w:val="0"/>
          <w:lang w:val="en-US"/>
        </w:rPr>
        <w:t>:</w:t>
      </w:r>
      <w:r>
        <w:rPr>
          <w:rFonts w:ascii="Arial" w:hAnsi="Arial"/>
          <w:sz w:val="28"/>
          <w:szCs w:val="28"/>
          <w:rtl w:val="0"/>
          <w:lang w:val="en-US"/>
        </w:rPr>
        <w:t xml:space="preserve"> treating everyone with fairness and respect and recognising and responding to the needs of individuals. Taking positive actions to address existing disadvantages and barriers affecting how people engage with and participate in tennis. </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Ethnicity</w:t>
      </w:r>
      <w:r>
        <w:rPr>
          <w:rFonts w:ascii="Arial" w:hAnsi="Arial"/>
          <w:sz w:val="28"/>
          <w:szCs w:val="28"/>
          <w:rtl w:val="0"/>
          <w:lang w:val="en-US"/>
        </w:rPr>
        <w:t xml:space="preserve">: </w:t>
      </w:r>
      <w:r>
        <w:rPr>
          <w:rFonts w:ascii="Arial" w:hAnsi="Arial"/>
          <w:sz w:val="28"/>
          <w:szCs w:val="28"/>
          <w:rtl w:val="0"/>
          <w:lang w:val="en-US"/>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Gay</w:t>
      </w:r>
      <w:r>
        <w:rPr>
          <w:rFonts w:ascii="Arial" w:hAnsi="Arial"/>
          <w:sz w:val="28"/>
          <w:szCs w:val="28"/>
          <w:rtl w:val="0"/>
          <w:lang w:val="en-US"/>
        </w:rPr>
        <w:t>:</w:t>
      </w:r>
      <w:r>
        <w:rPr>
          <w:rFonts w:ascii="Arial" w:hAnsi="Arial"/>
          <w:spacing w:val="18"/>
          <w:sz w:val="28"/>
          <w:szCs w:val="28"/>
          <w:shd w:val="clear" w:color="auto" w:fill="ffffff"/>
          <w:rtl w:val="0"/>
        </w:rPr>
        <w:t xml:space="preserve"> </w:t>
      </w:r>
      <w:r>
        <w:rPr>
          <w:rFonts w:ascii="Arial" w:hAnsi="Arial"/>
          <w:sz w:val="28"/>
          <w:szCs w:val="28"/>
          <w:rtl w:val="0"/>
          <w:lang w:val="en-US"/>
        </w:rPr>
        <w:t>refers to a man who has an emotional, romantic and/or sexual orientation towards men. Also, a generic term for lesbian and gay sexuality - some women define themselves as gay rather than lesbian.</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Gender identity: t</w:t>
      </w:r>
      <w:r>
        <w:rPr>
          <w:rFonts w:ascii="Arial" w:hAnsi="Arial"/>
          <w:sz w:val="28"/>
          <w:szCs w:val="28"/>
          <w:rtl w:val="0"/>
          <w:lang w:val="en-US"/>
        </w:rPr>
        <w:t>his is an individual</w:t>
      </w:r>
      <w:r>
        <w:rPr>
          <w:rFonts w:ascii="Arial" w:hAnsi="Arial" w:hint="default"/>
          <w:sz w:val="28"/>
          <w:szCs w:val="28"/>
          <w:rtl w:val="0"/>
          <w:lang w:val="en-US"/>
        </w:rPr>
        <w:t>’</w:t>
      </w:r>
      <w:r>
        <w:rPr>
          <w:rFonts w:ascii="Arial" w:hAnsi="Arial"/>
          <w:sz w:val="28"/>
          <w:szCs w:val="28"/>
          <w:rtl w:val="0"/>
          <w:lang w:val="en-US"/>
        </w:rPr>
        <w:t>s internal self-perception of their own gender. A person may identify as a man, as a woman, as neither man or woman (non-binary) or as androgyne/polygender.</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Gender reassignment</w:t>
      </w:r>
      <w:r>
        <w:rPr>
          <w:rFonts w:ascii="Arial" w:hAnsi="Arial"/>
          <w:sz w:val="28"/>
          <w:szCs w:val="28"/>
          <w:rtl w:val="0"/>
          <w:lang w:val="en-US"/>
        </w:rPr>
        <w:t>: The process of changing or transitioning from one gender to another.</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Harassment:</w:t>
      </w:r>
      <w:r>
        <w:rPr>
          <w:rFonts w:ascii="Arial" w:hAnsi="Arial"/>
          <w:sz w:val="28"/>
          <w:szCs w:val="28"/>
          <w:rtl w:val="0"/>
          <w:lang w:val="en-US"/>
        </w:rPr>
        <w:t xml:space="preserve"> unwanted conduct related to a relevant protected characteristic, which has the purpose or effect of violating an individual</w:t>
      </w:r>
      <w:r>
        <w:rPr>
          <w:rFonts w:ascii="Arial" w:hAnsi="Arial" w:hint="default"/>
          <w:sz w:val="28"/>
          <w:szCs w:val="28"/>
          <w:rtl w:val="0"/>
          <w:lang w:val="en-US"/>
        </w:rPr>
        <w:t>’</w:t>
      </w:r>
      <w:r>
        <w:rPr>
          <w:rFonts w:ascii="Arial" w:hAnsi="Arial"/>
          <w:sz w:val="28"/>
          <w:szCs w:val="28"/>
          <w:rtl w:val="0"/>
          <w:lang w:val="en-US"/>
        </w:rPr>
        <w:t>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pPr>
        <w:pStyle w:val="Body"/>
        <w:rPr>
          <w:rFonts w:ascii="Arial" w:cs="Arial" w:hAnsi="Arial" w:eastAsia="Arial"/>
          <w:b w:val="1"/>
          <w:bCs w:val="1"/>
          <w:sz w:val="28"/>
          <w:szCs w:val="28"/>
          <w:lang w:val="en-US"/>
        </w:rPr>
      </w:pPr>
    </w:p>
    <w:p>
      <w:pPr>
        <w:pStyle w:val="No Spacing"/>
        <w:rPr>
          <w:rFonts w:ascii="Arial" w:cs="Arial" w:hAnsi="Arial" w:eastAsia="Arial"/>
          <w:sz w:val="28"/>
          <w:szCs w:val="28"/>
        </w:rPr>
      </w:pPr>
      <w:r>
        <w:rPr>
          <w:rFonts w:ascii="Arial" w:hAnsi="Arial"/>
          <w:b w:val="1"/>
          <w:bCs w:val="1"/>
          <w:sz w:val="28"/>
          <w:szCs w:val="28"/>
          <w:rtl w:val="0"/>
          <w:lang w:val="en-US"/>
        </w:rPr>
        <w:t>Hate crime:</w:t>
      </w:r>
      <w:r>
        <w:rPr>
          <w:rFonts w:ascii="Arial" w:hAnsi="Arial"/>
          <w:outline w:val="0"/>
          <w:color w:val="494949"/>
          <w:sz w:val="28"/>
          <w:szCs w:val="28"/>
          <w:u w:color="494949"/>
          <w:rtl w:val="0"/>
          <w:lang w:val="en-US"/>
          <w14:textFill>
            <w14:solidFill>
              <w14:srgbClr w14:val="494949"/>
            </w14:solidFill>
          </w14:textFill>
        </w:rPr>
        <w:t xml:space="preserve"> </w:t>
      </w:r>
      <w:r>
        <w:rPr>
          <w:rFonts w:ascii="Arial" w:hAnsi="Arial"/>
          <w:sz w:val="28"/>
          <w:szCs w:val="28"/>
          <w:rtl w:val="0"/>
          <w:lang w:val="en-US"/>
        </w:rPr>
        <w:t>crime that</w:t>
      </w:r>
      <w:r>
        <w:rPr>
          <w:rFonts w:ascii="Arial" w:hAnsi="Arial" w:hint="default"/>
          <w:sz w:val="28"/>
          <w:szCs w:val="28"/>
          <w:rtl w:val="0"/>
          <w:lang w:val="en-US"/>
        </w:rPr>
        <w:t> </w:t>
      </w:r>
      <w:r>
        <w:rPr>
          <w:rFonts w:ascii="Arial" w:hAnsi="Arial"/>
          <w:sz w:val="28"/>
          <w:szCs w:val="28"/>
          <w:rtl w:val="0"/>
          <w:lang w:val="en-US"/>
        </w:rPr>
        <w:t>is targeted at a person because of hostility or prejudice towards that person</w:t>
      </w:r>
      <w:r>
        <w:rPr>
          <w:rFonts w:ascii="Arial" w:hAnsi="Arial" w:hint="default"/>
          <w:sz w:val="28"/>
          <w:szCs w:val="28"/>
          <w:rtl w:val="0"/>
          <w:lang w:val="en-US"/>
        </w:rPr>
        <w:t>’</w:t>
      </w:r>
      <w:r>
        <w:rPr>
          <w:rFonts w:ascii="Arial" w:hAnsi="Arial"/>
          <w:sz w:val="28"/>
          <w:szCs w:val="28"/>
          <w:rtl w:val="0"/>
          <w:lang w:val="en-US"/>
        </w:rPr>
        <w:t xml:space="preserve">s disability, race or ethnicity, religion or belief, sexual orientation or transgender identity. This can be committed against a person or property. </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Homophobia</w:t>
      </w:r>
      <w:r>
        <w:rPr>
          <w:rFonts w:ascii="Arial" w:hAnsi="Arial"/>
          <w:sz w:val="28"/>
          <w:szCs w:val="28"/>
          <w:rtl w:val="0"/>
          <w:lang w:val="en-US"/>
        </w:rPr>
        <w:t>: the fear, unreasonable anger, intolerance or/and hatred toward homosexuality, lesbian gay and bisexual people whether that person is homosexual or not.</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 xml:space="preserve">Inclusive leadership </w:t>
      </w:r>
      <w:r>
        <w:rPr>
          <w:rFonts w:ascii="Arial" w:hAnsi="Arial" w:hint="default"/>
          <w:sz w:val="28"/>
          <w:szCs w:val="28"/>
          <w:rtl w:val="0"/>
          <w:lang w:val="en-US"/>
        </w:rPr>
        <w:t xml:space="preserve">– </w:t>
      </w:r>
      <w:r>
        <w:rPr>
          <w:rFonts w:ascii="Arial" w:hAnsi="Arial"/>
          <w:sz w:val="28"/>
          <w:szCs w:val="28"/>
          <w:rtl w:val="0"/>
          <w:lang w:val="en-US"/>
        </w:rPr>
        <w:t>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An Inclusive Leader</w:t>
      </w:r>
      <w:r>
        <w:rPr>
          <w:rFonts w:ascii="Arial" w:hAnsi="Arial" w:hint="default"/>
          <w:sz w:val="28"/>
          <w:szCs w:val="28"/>
          <w:rtl w:val="0"/>
          <w:lang w:val="en-US"/>
        </w:rPr>
        <w:t xml:space="preserve"> – </w:t>
      </w:r>
      <w:r>
        <w:rPr>
          <w:rFonts w:ascii="Arial" w:hAnsi="Arial"/>
          <w:sz w:val="28"/>
          <w:szCs w:val="28"/>
          <w:rtl w:val="0"/>
          <w:lang w:val="en-US"/>
        </w:rPr>
        <w:t>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w:t>
      </w:r>
      <w:r>
        <w:rPr>
          <w:rFonts w:ascii="Arial" w:hAnsi="Arial" w:hint="default"/>
          <w:sz w:val="28"/>
          <w:szCs w:val="28"/>
          <w:rtl w:val="0"/>
          <w:lang w:val="en-US"/>
        </w:rPr>
        <w:t>’</w:t>
      </w:r>
      <w:r>
        <w:rPr>
          <w:rFonts w:ascii="Arial" w:hAnsi="Arial"/>
          <w:sz w:val="28"/>
          <w:szCs w:val="28"/>
          <w:rtl w:val="0"/>
          <w:lang w:val="en-US"/>
        </w:rPr>
        <w:t>, clients</w:t>
      </w:r>
      <w:r>
        <w:rPr>
          <w:rFonts w:ascii="Arial" w:hAnsi="Arial" w:hint="default"/>
          <w:sz w:val="28"/>
          <w:szCs w:val="28"/>
          <w:rtl w:val="0"/>
          <w:lang w:val="en-US"/>
        </w:rPr>
        <w:t xml:space="preserve">’ </w:t>
      </w:r>
      <w:r>
        <w:rPr>
          <w:rFonts w:ascii="Arial" w:hAnsi="Arial"/>
          <w:sz w:val="28"/>
          <w:szCs w:val="28"/>
          <w:rtl w:val="0"/>
          <w:lang w:val="en-US"/>
        </w:rPr>
        <w:t>and service users</w:t>
      </w:r>
      <w:r>
        <w:rPr>
          <w:rFonts w:ascii="Arial" w:hAnsi="Arial" w:hint="default"/>
          <w:sz w:val="28"/>
          <w:szCs w:val="28"/>
          <w:rtl w:val="0"/>
          <w:lang w:val="en-US"/>
        </w:rPr>
        <w:t xml:space="preserve">’ </w:t>
      </w:r>
      <w:r>
        <w:rPr>
          <w:rFonts w:ascii="Arial" w:hAnsi="Arial"/>
          <w:sz w:val="28"/>
          <w:szCs w:val="28"/>
          <w:rtl w:val="0"/>
          <w:lang w:val="en-US"/>
        </w:rPr>
        <w:t>needs; provides positive feedback to boost people</w:t>
      </w:r>
      <w:r>
        <w:rPr>
          <w:rFonts w:ascii="Arial" w:hAnsi="Arial" w:hint="default"/>
          <w:sz w:val="28"/>
          <w:szCs w:val="28"/>
          <w:rtl w:val="0"/>
          <w:lang w:val="en-US"/>
        </w:rPr>
        <w:t>’</w:t>
      </w:r>
      <w:r>
        <w:rPr>
          <w:rFonts w:ascii="Arial" w:hAnsi="Arial"/>
          <w:sz w:val="28"/>
          <w:szCs w:val="28"/>
          <w:rtl w:val="0"/>
          <w:lang w:val="en-US"/>
        </w:rPr>
        <w:t>s self-efficacy; puts effort into helping diverse people identify their talents and develop them for performance now and future advancement; communicates authentically and honestly in a way that inspires trust, loyalty and well-being.</w:t>
      </w:r>
    </w:p>
    <w:p>
      <w:pPr>
        <w:pStyle w:val="Body"/>
        <w:rPr>
          <w:rFonts w:ascii="Arial" w:cs="Arial" w:hAnsi="Arial" w:eastAsia="Arial"/>
          <w:sz w:val="28"/>
          <w:szCs w:val="28"/>
          <w:lang w:val="en-US"/>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Inclusion: </w:t>
      </w:r>
      <w:r>
        <w:rPr>
          <w:rFonts w:ascii="Arial" w:hAnsi="Arial"/>
          <w:sz w:val="28"/>
          <w:szCs w:val="28"/>
          <w:rtl w:val="0"/>
          <w:lang w:val="en-US"/>
        </w:rPr>
        <w:t>recognising that people from different backgrounds may have difference needs and expectations and may experience barriers in trying to access tennis. An inclusive venue is one that takes steps to attract and engage with people from many different backgrounds and meet  their needs so that everyone has a positive experience and has the opportunity to achieve  their potential.</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 xml:space="preserve">Indirect discrimination: </w:t>
      </w:r>
      <w:r>
        <w:rPr>
          <w:rFonts w:ascii="Arial" w:hAnsi="Arial"/>
          <w:sz w:val="28"/>
          <w:szCs w:val="28"/>
          <w:rtl w:val="0"/>
          <w:lang w:val="en-US"/>
        </w:rPr>
        <w:t>a practice, policy or rule which applies to everyone in the same way, but that has a worse effect on some people than others.</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 xml:space="preserve">LGBTQ: </w:t>
      </w:r>
      <w:r>
        <w:rPr>
          <w:rFonts w:ascii="Arial" w:hAnsi="Arial"/>
          <w:sz w:val="28"/>
          <w:szCs w:val="28"/>
          <w:rtl w:val="0"/>
          <w:lang w:val="en-US"/>
        </w:rPr>
        <w:t>an acronym for Lesbian, Gay, Bisexual, Trans and Questioning.</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Lesbian</w:t>
      </w:r>
      <w:r>
        <w:rPr>
          <w:rFonts w:ascii="Arial" w:hAnsi="Arial"/>
          <w:sz w:val="28"/>
          <w:szCs w:val="28"/>
          <w:rtl w:val="0"/>
          <w:lang w:val="en-US"/>
        </w:rPr>
        <w:t xml:space="preserve">: a woman who has an emotional romantic and /or sexual orientation towards women. </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Monitoring</w:t>
      </w:r>
      <w:r>
        <w:rPr>
          <w:rFonts w:ascii="Arial" w:hAnsi="Arial"/>
          <w:sz w:val="28"/>
          <w:szCs w:val="28"/>
          <w:rtl w:val="0"/>
          <w:lang w:val="en-US"/>
        </w:rPr>
        <w:t xml:space="preserve"> </w:t>
      </w:r>
      <w:r>
        <w:rPr>
          <w:rFonts w:ascii="Arial" w:hAnsi="Arial"/>
          <w:b w:val="1"/>
          <w:bCs w:val="1"/>
          <w:sz w:val="28"/>
          <w:szCs w:val="28"/>
          <w:rtl w:val="0"/>
          <w:lang w:val="en-US"/>
        </w:rPr>
        <w:t>equality</w:t>
      </w:r>
      <w:r>
        <w:rPr>
          <w:rFonts w:ascii="Arial" w:hAnsi="Arial"/>
          <w:sz w:val="28"/>
          <w:szCs w:val="28"/>
          <w:rtl w:val="0"/>
          <w:lang w:val="en-US"/>
        </w:rPr>
        <w:t>: refers to data collection and analysis to check if people with protected characteristics are participating and being treated equally. For example: monitoring of the number of people with a disability who play tennis at our venue.</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Non-binary</w:t>
      </w:r>
      <w:r>
        <w:rPr>
          <w:rFonts w:ascii="Arial" w:hAnsi="Arial" w:hint="default"/>
          <w:b w:val="1"/>
          <w:bCs w:val="1"/>
          <w:sz w:val="28"/>
          <w:szCs w:val="28"/>
          <w:rtl w:val="0"/>
          <w:lang w:val="en-US"/>
        </w:rPr>
        <w:t> </w:t>
      </w:r>
      <w:r>
        <w:rPr>
          <w:rFonts w:ascii="Arial" w:hAnsi="Arial" w:hint="default"/>
          <w:sz w:val="28"/>
          <w:szCs w:val="28"/>
          <w:rtl w:val="0"/>
          <w:lang w:val="en-US"/>
        </w:rPr>
        <w:t xml:space="preserve">– </w:t>
      </w:r>
      <w:r>
        <w:rPr>
          <w:rFonts w:ascii="Arial" w:hAnsi="Arial"/>
          <w:sz w:val="28"/>
          <w:szCs w:val="28"/>
          <w:rtl w:val="0"/>
          <w:lang w:val="en-US"/>
        </w:rPr>
        <w:t>an umbrella term for</w:t>
      </w:r>
      <w:r>
        <w:rPr>
          <w:rFonts w:ascii="Arial" w:hAnsi="Arial" w:hint="default"/>
          <w:sz w:val="28"/>
          <w:szCs w:val="28"/>
          <w:rtl w:val="0"/>
          <w:lang w:val="en-US"/>
        </w:rPr>
        <w:t> </w:t>
      </w:r>
      <w:r>
        <w:rPr>
          <w:rFonts w:ascii="Arial" w:hAnsi="Arial"/>
          <w:sz w:val="28"/>
          <w:szCs w:val="28"/>
          <w:rtl w:val="0"/>
          <w:lang w:val="en-US"/>
        </w:rPr>
        <w:t>a person who does not identify as</w:t>
      </w:r>
      <w:r>
        <w:rPr>
          <w:rFonts w:ascii="Arial" w:hAnsi="Arial" w:hint="default"/>
          <w:sz w:val="28"/>
          <w:szCs w:val="28"/>
          <w:rtl w:val="0"/>
          <w:lang w:val="en-US"/>
        </w:rPr>
        <w:t> </w:t>
      </w:r>
      <w:r>
        <w:rPr>
          <w:rFonts w:ascii="Arial" w:hAnsi="Arial"/>
          <w:sz w:val="28"/>
          <w:szCs w:val="28"/>
          <w:rtl w:val="0"/>
          <w:lang w:val="en-US"/>
        </w:rPr>
        <w:t>only male or only female, or who may</w:t>
      </w:r>
      <w:r>
        <w:rPr>
          <w:rFonts w:ascii="Arial" w:hAnsi="Arial" w:hint="default"/>
          <w:sz w:val="28"/>
          <w:szCs w:val="28"/>
          <w:rtl w:val="0"/>
          <w:lang w:val="en-US"/>
        </w:rPr>
        <w:t> </w:t>
      </w:r>
      <w:r>
        <w:rPr>
          <w:rFonts w:ascii="Arial" w:hAnsi="Arial"/>
          <w:sz w:val="28"/>
          <w:szCs w:val="28"/>
          <w:rtl w:val="0"/>
          <w:lang w:val="en-US"/>
        </w:rPr>
        <w:t>identify as both.</w:t>
      </w:r>
    </w:p>
    <w:p>
      <w:pPr>
        <w:pStyle w:val="Body"/>
        <w:rPr>
          <w:rFonts w:ascii="Arial" w:cs="Arial" w:hAnsi="Arial" w:eastAsia="Arial"/>
          <w:sz w:val="28"/>
          <w:szCs w:val="28"/>
        </w:rPr>
      </w:pPr>
      <w:r>
        <w:rPr>
          <w:rFonts w:ascii="Arial" w:hAnsi="Arial"/>
          <w:b w:val="1"/>
          <w:bCs w:val="1"/>
          <w:sz w:val="28"/>
          <w:szCs w:val="28"/>
          <w:rtl w:val="0"/>
          <w:lang w:val="en-US"/>
        </w:rPr>
        <w:t xml:space="preserve">Positive action: </w:t>
      </w:r>
      <w:r>
        <w:rPr>
          <w:rFonts w:ascii="Arial" w:hAnsi="Arial"/>
          <w:sz w:val="28"/>
          <w:szCs w:val="28"/>
          <w:rtl w:val="0"/>
          <w:lang w:val="en-US"/>
        </w:rPr>
        <w:t>a range of lawful actions that seek to overcome or minimise disadvantages (for example in employment opportunities) that people who share a protected characteristic have experienced, or to meet their different needs.</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Pregnancy and maternity</w:t>
      </w:r>
      <w:r>
        <w:rPr>
          <w:rFonts w:ascii="Arial" w:hAnsi="Arial"/>
          <w:sz w:val="28"/>
          <w:szCs w:val="28"/>
          <w:rtl w:val="0"/>
          <w:lang w:val="en-US"/>
        </w:rPr>
        <w:t>: 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Questioning</w:t>
      </w:r>
      <w:r>
        <w:rPr>
          <w:rFonts w:ascii="Arial" w:hAnsi="Arial"/>
          <w:sz w:val="28"/>
          <w:szCs w:val="28"/>
          <w:rtl w:val="0"/>
          <w:lang w:val="en-US"/>
        </w:rPr>
        <w:t xml:space="preserve">: it refers to </w:t>
      </w:r>
      <w:r>
        <w:rPr>
          <w:rFonts w:ascii="Arial" w:hAnsi="Arial"/>
          <w:sz w:val="28"/>
          <w:szCs w:val="28"/>
          <w:rtl w:val="0"/>
          <w:lang w:val="en-US"/>
        </w:rPr>
        <w:t>the process of exploring your own sexual orientation and/or gender identity.</w:t>
      </w:r>
    </w:p>
    <w:p>
      <w:pPr>
        <w:pStyle w:val="Body"/>
        <w:rPr>
          <w:rFonts w:ascii="Arial" w:cs="Arial" w:hAnsi="Arial" w:eastAsia="Arial"/>
          <w:b w:val="1"/>
          <w:bCs w:val="1"/>
          <w:sz w:val="28"/>
          <w:szCs w:val="28"/>
        </w:rPr>
      </w:pPr>
    </w:p>
    <w:p>
      <w:pPr>
        <w:pStyle w:val="Body"/>
        <w:rPr>
          <w:rFonts w:ascii="Arial" w:cs="Arial" w:hAnsi="Arial" w:eastAsia="Arial"/>
          <w:sz w:val="28"/>
          <w:szCs w:val="28"/>
        </w:rPr>
      </w:pPr>
      <w:r>
        <w:rPr>
          <w:rFonts w:ascii="Arial" w:hAnsi="Arial"/>
          <w:b w:val="1"/>
          <w:bCs w:val="1"/>
          <w:sz w:val="28"/>
          <w:szCs w:val="28"/>
          <w:rtl w:val="0"/>
          <w:lang w:val="en-US"/>
        </w:rPr>
        <w:t>Race:</w:t>
      </w:r>
      <w:r>
        <w:rPr>
          <w:rFonts w:ascii="Arial" w:hAnsi="Arial"/>
          <w:sz w:val="28"/>
          <w:szCs w:val="28"/>
          <w:rtl w:val="0"/>
          <w:lang w:val="en-US"/>
        </w:rPr>
        <w:t xml:space="preserve"> refers to the protected characteristic of race. It refers to a group of people defined by their race, </w:t>
      </w:r>
      <w:r>
        <w:rPr>
          <w:rFonts w:ascii="Arial" w:hAnsi="Arial"/>
          <w:sz w:val="28"/>
          <w:szCs w:val="28"/>
          <w:rtl w:val="0"/>
          <w:lang w:val="en-US"/>
        </w:rPr>
        <w:t>colour</w:t>
      </w:r>
      <w:r>
        <w:rPr>
          <w:rFonts w:ascii="Arial" w:hAnsi="Arial"/>
          <w:sz w:val="28"/>
          <w:szCs w:val="28"/>
          <w:rtl w:val="0"/>
          <w:lang w:val="en-US"/>
        </w:rPr>
        <w:t xml:space="preserve">, and nationality (including citizenship) ethnic or national origins. </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Radicalisation</w:t>
      </w:r>
      <w:r>
        <w:rPr>
          <w:rFonts w:ascii="Arial" w:hAnsi="Arial"/>
          <w:b w:val="1"/>
          <w:bCs w:val="1"/>
          <w:sz w:val="28"/>
          <w:szCs w:val="28"/>
          <w:rtl w:val="0"/>
          <w:lang w:val="en-US"/>
        </w:rPr>
        <w:t>, extremism and terrorist behavior</w:t>
      </w:r>
      <w:r>
        <w:rPr>
          <w:rFonts w:ascii="Arial" w:hAnsi="Arial"/>
          <w:sz w:val="28"/>
          <w:szCs w:val="28"/>
          <w:rtl w:val="0"/>
          <w:lang w:val="en-US"/>
        </w:rPr>
        <w:t xml:space="preserve">: </w:t>
      </w:r>
      <w:r>
        <w:rPr>
          <w:rFonts w:ascii="Arial" w:hAnsi="Arial"/>
          <w:sz w:val="28"/>
          <w:szCs w:val="28"/>
          <w:rtl w:val="0"/>
          <w:lang w:val="en-US"/>
        </w:rPr>
        <w:t>Radicalisation</w:t>
      </w:r>
      <w:r>
        <w:rPr>
          <w:rFonts w:ascii="Arial" w:hAnsi="Arial"/>
          <w:sz w:val="28"/>
          <w:szCs w:val="28"/>
          <w:rtl w:val="0"/>
          <w:lang w:val="en-US"/>
        </w:rPr>
        <w:t xml:space="preserve"> is the process by which a person comes to support terrorism and/or forms of extremism. Extremism is vocal or active opposition to fundamental British values, including democracy, the rule of law, individual liberty and mutual respect and tolerance of different faiths and beliefs. There is no single way to identify an individual who is likely to be susceptible to extremist ideology. The internet and the use of social media can be a major factor in the </w:t>
      </w:r>
      <w:r>
        <w:rPr>
          <w:rFonts w:ascii="Arial" w:hAnsi="Arial"/>
          <w:sz w:val="28"/>
          <w:szCs w:val="28"/>
          <w:rtl w:val="0"/>
          <w:lang w:val="en-US"/>
        </w:rPr>
        <w:t>radicalisation</w:t>
      </w:r>
      <w:r>
        <w:rPr>
          <w:rFonts w:ascii="Arial" w:hAnsi="Arial"/>
          <w:sz w:val="28"/>
          <w:szCs w:val="28"/>
          <w:rtl w:val="0"/>
          <w:lang w:val="en-US"/>
        </w:rPr>
        <w:t xml:space="preserve"> of</w:t>
      </w:r>
      <w:r>
        <w:rPr>
          <w:rFonts w:ascii="Arial" w:hAnsi="Arial" w:hint="default"/>
          <w:sz w:val="28"/>
          <w:szCs w:val="28"/>
          <w:rtl w:val="0"/>
          <w:lang w:val="en-US"/>
        </w:rPr>
        <w:t> </w:t>
      </w:r>
      <w:r>
        <w:rPr>
          <w:rFonts w:ascii="Arial" w:hAnsi="Arial"/>
          <w:sz w:val="28"/>
          <w:szCs w:val="28"/>
          <w:rtl w:val="0"/>
          <w:lang w:val="en-US"/>
        </w:rPr>
        <w:t>people.</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Reasonable adjustment</w:t>
      </w:r>
      <w:r>
        <w:rPr>
          <w:rFonts w:ascii="Arial" w:hAnsi="Arial"/>
          <w:sz w:val="28"/>
          <w:szCs w:val="28"/>
          <w:rtl w:val="0"/>
          <w:lang w:val="en-US"/>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Religion or belief:</w:t>
      </w:r>
      <w:r>
        <w:rPr>
          <w:rFonts w:ascii="Arial" w:hAnsi="Arial"/>
          <w:sz w:val="28"/>
          <w:szCs w:val="28"/>
          <w:rtl w:val="0"/>
          <w:lang w:val="en-US"/>
        </w:rPr>
        <w:t xml:space="preserve"> religion has the meaning usually given to it but belief includes religious and philosophical beliefs including lack of belief (e.g. atheism). Generally, a belief should affect your life choices or the way you live for it to be included in the definition.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Sex:</w:t>
      </w:r>
      <w:r>
        <w:rPr>
          <w:rFonts w:ascii="Arial" w:hAnsi="Arial"/>
          <w:sz w:val="28"/>
          <w:szCs w:val="28"/>
          <w:rtl w:val="0"/>
          <w:lang w:val="en-US"/>
        </w:rPr>
        <w:t xml:space="preserve"> </w:t>
      </w:r>
      <w:r>
        <w:rPr>
          <w:rFonts w:ascii="Arial" w:hAnsi="Arial"/>
          <w:sz w:val="28"/>
          <w:szCs w:val="28"/>
          <w:rtl w:val="0"/>
          <w:lang w:val="en-US"/>
        </w:rPr>
        <w:t>refers to the biological makeup such as primary and secondary sexual characteristics, genes, and hormones. The legal sex is usually assigned at birth and has traditionally been understood as consisting of two mutually exclusive groups, namely men and women.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Sexual orientation:</w:t>
      </w:r>
      <w:r>
        <w:rPr>
          <w:rFonts w:ascii="Arial" w:hAnsi="Arial"/>
          <w:sz w:val="28"/>
          <w:szCs w:val="28"/>
          <w:rtl w:val="0"/>
          <w:lang w:val="en-US"/>
        </w:rPr>
        <w:t xml:space="preserve"> </w:t>
      </w:r>
      <w:r>
        <w:rPr>
          <w:rFonts w:ascii="Arial" w:hAnsi="Arial" w:hint="default"/>
          <w:sz w:val="28"/>
          <w:szCs w:val="28"/>
          <w:rtl w:val="0"/>
        </w:rPr>
        <w:t> </w:t>
      </w:r>
      <w:r>
        <w:rPr>
          <w:rFonts w:ascii="Arial" w:hAnsi="Arial"/>
          <w:sz w:val="28"/>
          <w:szCs w:val="28"/>
          <w:rtl w:val="0"/>
          <w:lang w:val="it-IT"/>
        </w:rPr>
        <w:t>a person</w:t>
      </w:r>
      <w:r>
        <w:rPr>
          <w:rFonts w:ascii="Arial" w:hAnsi="Arial" w:hint="default"/>
          <w:sz w:val="28"/>
          <w:szCs w:val="28"/>
          <w:rtl w:val="0"/>
        </w:rPr>
        <w:t>’</w:t>
      </w:r>
      <w:r>
        <w:rPr>
          <w:rFonts w:ascii="Arial" w:hAnsi="Arial"/>
          <w:sz w:val="28"/>
          <w:szCs w:val="28"/>
          <w:rtl w:val="0"/>
          <w:lang w:val="en-US"/>
        </w:rPr>
        <w:t>s emotional, romantic and/or sexual attraction to another person.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rPr>
        <w:t>Trans:</w:t>
      </w:r>
      <w:r>
        <w:rPr>
          <w:rFonts w:ascii="Arial" w:hAnsi="Arial" w:hint="default"/>
          <w:b w:val="1"/>
          <w:bCs w:val="1"/>
          <w:sz w:val="28"/>
          <w:szCs w:val="28"/>
          <w:rtl w:val="0"/>
        </w:rPr>
        <w:t> </w:t>
      </w:r>
      <w:r>
        <w:rPr>
          <w:rFonts w:ascii="Arial" w:hAnsi="Arial"/>
          <w:sz w:val="28"/>
          <w:szCs w:val="28"/>
          <w:rtl w:val="0"/>
          <w:lang w:val="en-US"/>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Transphobia</w:t>
      </w:r>
      <w:r>
        <w:rPr>
          <w:rFonts w:ascii="Arial" w:hAnsi="Arial"/>
          <w:sz w:val="28"/>
          <w:szCs w:val="28"/>
          <w:rtl w:val="0"/>
          <w:lang w:val="en-US"/>
        </w:rPr>
        <w:t>: the fear, unreasonable anger, dislike, intolerance or/and hatred toward trans people, whether that person has undergone gender reassignment or is perceived to have done that.</w:t>
      </w:r>
    </w:p>
    <w:p>
      <w:pPr>
        <w:pStyle w:val="Body"/>
        <w:rPr>
          <w:rFonts w:ascii="Arial" w:cs="Arial" w:hAnsi="Arial" w:eastAsia="Arial"/>
          <w:b w:val="1"/>
          <w:bCs w:val="1"/>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Transsexual Person:</w:t>
      </w:r>
      <w:r>
        <w:rPr>
          <w:rFonts w:ascii="Arial" w:hAnsi="Arial"/>
          <w:sz w:val="28"/>
          <w:szCs w:val="28"/>
          <w:rtl w:val="0"/>
          <w:lang w:val="en-US"/>
        </w:rPr>
        <w:t xml:space="preserve"> someone who has started the process of changing their gender identity is undergoing or has undergone gender reassignment. </w:t>
      </w:r>
    </w:p>
    <w:p>
      <w:pPr>
        <w:pStyle w:val="Body"/>
        <w:rPr>
          <w:rFonts w:ascii="Arial" w:cs="Arial" w:hAnsi="Arial" w:eastAsia="Arial"/>
          <w:sz w:val="28"/>
          <w:szCs w:val="28"/>
          <w:lang w:val="en-US"/>
        </w:rPr>
      </w:pPr>
    </w:p>
    <w:p>
      <w:pPr>
        <w:pStyle w:val="Body"/>
        <w:rPr>
          <w:rFonts w:ascii="Arial" w:cs="Arial" w:hAnsi="Arial" w:eastAsia="Arial"/>
          <w:b w:val="1"/>
          <w:bCs w:val="1"/>
          <w:sz w:val="28"/>
          <w:szCs w:val="28"/>
        </w:rPr>
      </w:pPr>
      <w:r>
        <w:rPr>
          <w:rFonts w:ascii="Arial" w:hAnsi="Arial"/>
          <w:b w:val="1"/>
          <w:bCs w:val="1"/>
          <w:sz w:val="28"/>
          <w:szCs w:val="28"/>
          <w:rtl w:val="0"/>
          <w:lang w:val="en-US"/>
        </w:rPr>
        <w:t>Unconscious bias or implicit bias:</w:t>
      </w:r>
      <w:r>
        <w:rPr>
          <w:rFonts w:ascii="Arial" w:hAnsi="Arial"/>
          <w:sz w:val="28"/>
          <w:szCs w:val="28"/>
          <w:rtl w:val="0"/>
          <w:lang w:val="en-US"/>
        </w:rPr>
        <w:t xml:space="preserve"> this refers </w:t>
      </w:r>
      <w:r>
        <w:rPr>
          <w:rFonts w:ascii="Arial" w:hAnsi="Arial"/>
          <w:sz w:val="28"/>
          <w:szCs w:val="28"/>
          <w:rtl w:val="0"/>
          <w:lang w:val="en-US"/>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Pr>
          <w:rFonts w:ascii="Arial" w:hAnsi="Arial"/>
          <w:sz w:val="28"/>
          <w:szCs w:val="28"/>
          <w:rtl w:val="0"/>
          <w:lang w:val="en-US"/>
        </w:rPr>
        <w:t>.</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b w:val="1"/>
          <w:bCs w:val="1"/>
          <w:sz w:val="28"/>
          <w:szCs w:val="28"/>
          <w:rtl w:val="0"/>
          <w:lang w:val="en-US"/>
        </w:rPr>
        <w:t>Victimisation:</w:t>
      </w:r>
      <w:r>
        <w:rPr>
          <w:rFonts w:ascii="Arial" w:hAnsi="Arial"/>
          <w:sz w:val="28"/>
          <w:szCs w:val="28"/>
          <w:rtl w:val="0"/>
          <w:lang w:val="en-US"/>
        </w:rPr>
        <w:t xml:space="preserve"> when someone is treated badly because they have made or supported a complaint or grievance.</w:t>
      </w:r>
    </w:p>
    <w:p>
      <w:pPr>
        <w:pStyle w:val="Body"/>
      </w:pPr>
      <w:r>
        <w:rPr>
          <w:rFonts w:ascii="Arial Unicode MS" w:cs="Arial Unicode MS" w:hAnsi="Arial Unicode MS" w:eastAsia="Arial Unicode MS"/>
          <w:b w:val="0"/>
          <w:bCs w:val="0"/>
          <w:i w:val="0"/>
          <w:iCs w:val="0"/>
          <w:sz w:val="28"/>
          <w:szCs w:val="28"/>
        </w:rPr>
        <w:br w:type="page"/>
      </w:r>
    </w:p>
    <w:p>
      <w:pPr>
        <w:pStyle w:val="Body"/>
        <w:rPr>
          <w:rFonts w:ascii="Arial" w:cs="Arial" w:hAnsi="Arial" w:eastAsia="Arial"/>
          <w:b w:val="1"/>
          <w:bCs w:val="1"/>
          <w:sz w:val="28"/>
          <w:szCs w:val="28"/>
        </w:rPr>
      </w:pPr>
      <w:r>
        <w:rPr>
          <w:rFonts w:ascii="Arial" w:hAnsi="Arial"/>
          <w:b w:val="1"/>
          <w:bCs w:val="1"/>
          <w:sz w:val="28"/>
          <w:szCs w:val="28"/>
          <w:rtl w:val="0"/>
          <w:lang w:val="fr-FR"/>
        </w:rPr>
        <w:t>Appendix B:</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fr-FR"/>
        </w:rPr>
        <w:t>Legislation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 xml:space="preserve">The </w:t>
      </w:r>
      <w:r>
        <w:rPr>
          <w:rFonts w:ascii="Arial" w:hAnsi="Arial"/>
          <w:b w:val="1"/>
          <w:bCs w:val="1"/>
          <w:sz w:val="28"/>
          <w:szCs w:val="28"/>
          <w:rtl w:val="0"/>
          <w:lang w:val="en-US"/>
        </w:rPr>
        <w:t>Equality Act 2010</w:t>
      </w:r>
      <w:r>
        <w:rPr>
          <w:rFonts w:ascii="Arial" w:cs="Arial" w:hAnsi="Arial" w:eastAsia="Arial"/>
          <w:b w:val="1"/>
          <w:bCs w:val="1"/>
          <w:sz w:val="28"/>
          <w:szCs w:val="28"/>
          <w:vertAlign w:val="superscript"/>
          <w:lang w:val="en-US"/>
        </w:rPr>
        <w:footnoteReference w:id="1"/>
      </w:r>
      <w:r>
        <w:rPr>
          <w:rFonts w:ascii="Arial" w:hAnsi="Arial"/>
          <w:sz w:val="28"/>
          <w:szCs w:val="28"/>
          <w:rtl w:val="0"/>
          <w:lang w:val="en-US"/>
        </w:rPr>
        <w:t xml:space="preserve"> legally protects people from discrimination in the workplace and in wider society. It replaced previous anti-discrimination laws with a single Act, making the law easier to understand and strengthening protection in some situations. It sets out the different ways in which it</w:t>
      </w:r>
      <w:r>
        <w:rPr>
          <w:rFonts w:ascii="Arial" w:hAnsi="Arial" w:hint="default"/>
          <w:sz w:val="28"/>
          <w:szCs w:val="28"/>
          <w:rtl w:val="0"/>
          <w:lang w:val="en-US"/>
        </w:rPr>
        <w:t>’</w:t>
      </w:r>
      <w:r>
        <w:rPr>
          <w:rFonts w:ascii="Arial" w:hAnsi="Arial"/>
          <w:sz w:val="28"/>
          <w:szCs w:val="28"/>
          <w:rtl w:val="0"/>
          <w:lang w:val="en-US"/>
        </w:rPr>
        <w:t>s unlawful to treat someone.</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It is against the law to discriminate against anyone because of:</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age</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being or becoming a transsexual person</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being married or in a civil partnership</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being</w:t>
      </w:r>
      <w:r>
        <w:rPr>
          <w:rFonts w:ascii="Arial" w:hAnsi="Arial" w:hint="default"/>
          <w:sz w:val="28"/>
          <w:szCs w:val="28"/>
          <w:rtl w:val="0"/>
          <w:lang w:val="en-US"/>
        </w:rPr>
        <w:t> </w:t>
      </w:r>
      <w:r>
        <w:rPr>
          <w:rFonts w:ascii="Arial" w:hAnsi="Arial"/>
          <w:sz w:val="28"/>
          <w:szCs w:val="28"/>
          <w:rtl w:val="0"/>
          <w:lang w:val="en-US"/>
        </w:rPr>
        <w:t>pregnant</w:t>
      </w:r>
      <w:r>
        <w:rPr>
          <w:rFonts w:ascii="Arial" w:hAnsi="Arial" w:hint="default"/>
          <w:sz w:val="28"/>
          <w:szCs w:val="28"/>
          <w:rtl w:val="0"/>
          <w:lang w:val="en-US"/>
        </w:rPr>
        <w:t> </w:t>
      </w:r>
      <w:r>
        <w:rPr>
          <w:rFonts w:ascii="Arial" w:hAnsi="Arial"/>
          <w:sz w:val="28"/>
          <w:szCs w:val="28"/>
          <w:rtl w:val="0"/>
          <w:lang w:val="en-US"/>
        </w:rPr>
        <w:t>or on maternity leave</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disability</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race including colour, nationality, ethnic or national origin</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religion, belief or lack of religion/belief</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sex</w:t>
      </w:r>
    </w:p>
    <w:p>
      <w:pPr>
        <w:pStyle w:val="Body"/>
        <w:numPr>
          <w:ilvl w:val="0"/>
          <w:numId w:val="35"/>
        </w:numPr>
        <w:bidi w:val="0"/>
        <w:ind w:right="0"/>
        <w:jc w:val="left"/>
        <w:rPr>
          <w:rFonts w:ascii="Arial" w:hAnsi="Arial"/>
          <w:sz w:val="28"/>
          <w:szCs w:val="28"/>
          <w:rtl w:val="0"/>
          <w:lang w:val="en-US"/>
        </w:rPr>
      </w:pPr>
      <w:r>
        <w:rPr>
          <w:rFonts w:ascii="Arial" w:hAnsi="Arial"/>
          <w:sz w:val="28"/>
          <w:szCs w:val="28"/>
          <w:rtl w:val="0"/>
          <w:lang w:val="en-US"/>
        </w:rPr>
        <w:t>sexual orientation</w:t>
      </w:r>
    </w:p>
    <w:p>
      <w:pPr>
        <w:pStyle w:val="Body"/>
        <w:rPr>
          <w:rFonts w:ascii="Arial" w:cs="Arial" w:hAnsi="Arial" w:eastAsia="Arial"/>
          <w:sz w:val="28"/>
          <w:szCs w:val="28"/>
        </w:rPr>
      </w:pPr>
      <w:r>
        <w:rPr>
          <w:rFonts w:ascii="Arial" w:hAnsi="Arial"/>
          <w:sz w:val="28"/>
          <w:szCs w:val="28"/>
          <w:rtl w:val="0"/>
          <w:lang w:val="en-US"/>
        </w:rPr>
        <w:t xml:space="preserve">These are called </w:t>
      </w:r>
      <w:r>
        <w:rPr>
          <w:rFonts w:ascii="Arial" w:hAnsi="Arial" w:hint="default"/>
          <w:sz w:val="28"/>
          <w:szCs w:val="28"/>
          <w:rtl w:val="0"/>
          <w:lang w:val="en-US"/>
        </w:rPr>
        <w:t>‘</w:t>
      </w:r>
      <w:r>
        <w:rPr>
          <w:rFonts w:ascii="Arial" w:hAnsi="Arial"/>
          <w:sz w:val="28"/>
          <w:szCs w:val="28"/>
          <w:rtl w:val="0"/>
          <w:lang w:val="en-US"/>
        </w:rPr>
        <w:t>protected characteristics</w:t>
      </w:r>
      <w:r>
        <w:rPr>
          <w:rFonts w:ascii="Arial" w:hAnsi="Arial" w:hint="default"/>
          <w:sz w:val="28"/>
          <w:szCs w:val="28"/>
          <w:rtl w:val="0"/>
          <w:lang w:val="en-US"/>
        </w:rPr>
        <w:t>’</w:t>
      </w:r>
      <w:r>
        <w:rPr>
          <w:rFonts w:ascii="Arial" w:hAnsi="Arial"/>
          <w:sz w:val="28"/>
          <w:szCs w:val="28"/>
          <w:rtl w:val="0"/>
          <w:lang w:val="en-US"/>
        </w:rPr>
        <w:t>.</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People are protected from discrimination:</w:t>
      </w:r>
    </w:p>
    <w:p>
      <w:pPr>
        <w:pStyle w:val="Body"/>
        <w:numPr>
          <w:ilvl w:val="0"/>
          <w:numId w:val="37"/>
        </w:numPr>
        <w:bidi w:val="0"/>
        <w:ind w:right="0"/>
        <w:jc w:val="left"/>
        <w:rPr>
          <w:rFonts w:ascii="Arial" w:hAnsi="Arial"/>
          <w:sz w:val="28"/>
          <w:szCs w:val="28"/>
          <w:rtl w:val="0"/>
          <w:lang w:val="en-US"/>
        </w:rPr>
      </w:pPr>
      <w:r>
        <w:rPr>
          <w:rFonts w:ascii="Arial" w:hAnsi="Arial"/>
          <w:sz w:val="28"/>
          <w:szCs w:val="28"/>
          <w:rtl w:val="0"/>
          <w:lang w:val="en-US"/>
        </w:rPr>
        <w:t>at work</w:t>
      </w:r>
    </w:p>
    <w:p>
      <w:pPr>
        <w:pStyle w:val="Body"/>
        <w:numPr>
          <w:ilvl w:val="0"/>
          <w:numId w:val="37"/>
        </w:numPr>
        <w:bidi w:val="0"/>
        <w:ind w:right="0"/>
        <w:jc w:val="left"/>
        <w:rPr>
          <w:rFonts w:ascii="Arial" w:hAnsi="Arial"/>
          <w:sz w:val="28"/>
          <w:szCs w:val="28"/>
          <w:rtl w:val="0"/>
          <w:lang w:val="en-US"/>
        </w:rPr>
      </w:pPr>
      <w:r>
        <w:rPr>
          <w:rFonts w:ascii="Arial" w:hAnsi="Arial"/>
          <w:sz w:val="28"/>
          <w:szCs w:val="28"/>
          <w:rtl w:val="0"/>
          <w:lang w:val="en-US"/>
        </w:rPr>
        <w:t>in education</w:t>
      </w:r>
    </w:p>
    <w:p>
      <w:pPr>
        <w:pStyle w:val="Body"/>
        <w:numPr>
          <w:ilvl w:val="0"/>
          <w:numId w:val="37"/>
        </w:numPr>
        <w:bidi w:val="0"/>
        <w:ind w:right="0"/>
        <w:jc w:val="left"/>
        <w:rPr>
          <w:rFonts w:ascii="Arial" w:hAnsi="Arial"/>
          <w:sz w:val="28"/>
          <w:szCs w:val="28"/>
          <w:rtl w:val="0"/>
          <w:lang w:val="en-US"/>
        </w:rPr>
      </w:pPr>
      <w:r>
        <w:rPr>
          <w:rFonts w:ascii="Arial" w:hAnsi="Arial"/>
          <w:sz w:val="28"/>
          <w:szCs w:val="28"/>
          <w:rtl w:val="0"/>
          <w:lang w:val="en-US"/>
        </w:rPr>
        <w:t>as a consumer</w:t>
      </w:r>
    </w:p>
    <w:p>
      <w:pPr>
        <w:pStyle w:val="Body"/>
        <w:numPr>
          <w:ilvl w:val="0"/>
          <w:numId w:val="37"/>
        </w:numPr>
        <w:bidi w:val="0"/>
        <w:ind w:right="0"/>
        <w:jc w:val="left"/>
        <w:rPr>
          <w:rFonts w:ascii="Arial" w:hAnsi="Arial"/>
          <w:sz w:val="28"/>
          <w:szCs w:val="28"/>
          <w:rtl w:val="0"/>
          <w:lang w:val="en-US"/>
        </w:rPr>
      </w:pPr>
      <w:r>
        <w:rPr>
          <w:rFonts w:ascii="Arial" w:hAnsi="Arial"/>
          <w:sz w:val="28"/>
          <w:szCs w:val="28"/>
          <w:rtl w:val="0"/>
          <w:lang w:val="en-US"/>
        </w:rPr>
        <w:t>when using public services</w:t>
      </w:r>
    </w:p>
    <w:p>
      <w:pPr>
        <w:pStyle w:val="Body"/>
        <w:numPr>
          <w:ilvl w:val="0"/>
          <w:numId w:val="37"/>
        </w:numPr>
        <w:bidi w:val="0"/>
        <w:ind w:right="0"/>
        <w:jc w:val="left"/>
        <w:rPr>
          <w:rFonts w:ascii="Arial" w:hAnsi="Arial"/>
          <w:sz w:val="28"/>
          <w:szCs w:val="28"/>
          <w:rtl w:val="0"/>
          <w:lang w:val="en-US"/>
        </w:rPr>
      </w:pPr>
      <w:r>
        <w:rPr>
          <w:rFonts w:ascii="Arial" w:hAnsi="Arial"/>
          <w:sz w:val="28"/>
          <w:szCs w:val="28"/>
          <w:rtl w:val="0"/>
          <w:lang w:val="en-US"/>
        </w:rPr>
        <w:t>when buying or renting property</w:t>
      </w:r>
    </w:p>
    <w:p>
      <w:pPr>
        <w:pStyle w:val="Body"/>
        <w:numPr>
          <w:ilvl w:val="0"/>
          <w:numId w:val="37"/>
        </w:numPr>
        <w:bidi w:val="0"/>
        <w:ind w:right="0"/>
        <w:jc w:val="left"/>
        <w:rPr>
          <w:rFonts w:ascii="Arial" w:hAnsi="Arial"/>
          <w:sz w:val="28"/>
          <w:szCs w:val="28"/>
          <w:rtl w:val="0"/>
          <w:lang w:val="en-US"/>
        </w:rPr>
      </w:pPr>
      <w:r>
        <w:rPr>
          <w:rFonts w:ascii="Arial" w:hAnsi="Arial"/>
          <w:sz w:val="28"/>
          <w:szCs w:val="28"/>
          <w:rtl w:val="0"/>
          <w:lang w:val="en-US"/>
        </w:rPr>
        <w:t>as a member or guest of a private club or association</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People are also protected from discrimination if:</w:t>
      </w:r>
    </w:p>
    <w:p>
      <w:pPr>
        <w:pStyle w:val="Body"/>
        <w:numPr>
          <w:ilvl w:val="0"/>
          <w:numId w:val="39"/>
        </w:numPr>
        <w:bidi w:val="0"/>
        <w:ind w:right="0"/>
        <w:jc w:val="left"/>
        <w:rPr>
          <w:rFonts w:ascii="Arial" w:hAnsi="Arial"/>
          <w:sz w:val="28"/>
          <w:szCs w:val="28"/>
          <w:rtl w:val="0"/>
          <w:lang w:val="en-US"/>
        </w:rPr>
      </w:pPr>
      <w:r>
        <w:rPr>
          <w:rFonts w:ascii="Arial" w:hAnsi="Arial"/>
          <w:sz w:val="28"/>
          <w:szCs w:val="28"/>
          <w:rtl w:val="0"/>
          <w:lang w:val="en-US"/>
        </w:rPr>
        <w:t>they are associated with someone who has a protected characteristic, e.g. a family member or friend</w:t>
      </w:r>
    </w:p>
    <w:p>
      <w:pPr>
        <w:pStyle w:val="Body"/>
        <w:numPr>
          <w:ilvl w:val="0"/>
          <w:numId w:val="39"/>
        </w:numPr>
        <w:bidi w:val="0"/>
        <w:ind w:right="0"/>
        <w:jc w:val="left"/>
        <w:rPr>
          <w:rFonts w:ascii="Arial" w:hAnsi="Arial"/>
          <w:sz w:val="28"/>
          <w:szCs w:val="28"/>
          <w:rtl w:val="0"/>
          <w:lang w:val="en-US"/>
        </w:rPr>
      </w:pPr>
      <w:r>
        <w:rPr>
          <w:rFonts w:ascii="Arial" w:hAnsi="Arial"/>
          <w:sz w:val="28"/>
          <w:szCs w:val="28"/>
          <w:rtl w:val="0"/>
          <w:lang w:val="en-US"/>
        </w:rPr>
        <w:t>they have complained about discrimination or supported someone else</w:t>
      </w:r>
      <w:r>
        <w:rPr>
          <w:rFonts w:ascii="Arial" w:hAnsi="Arial" w:hint="default"/>
          <w:sz w:val="28"/>
          <w:szCs w:val="28"/>
          <w:rtl w:val="0"/>
          <w:lang w:val="en-US"/>
        </w:rPr>
        <w:t>’</w:t>
      </w:r>
      <w:r>
        <w:rPr>
          <w:rFonts w:ascii="Arial" w:hAnsi="Arial"/>
          <w:sz w:val="28"/>
          <w:szCs w:val="28"/>
          <w:rtl w:val="0"/>
          <w:lang w:val="en-US"/>
        </w:rPr>
        <w:t>s claim</w:t>
      </w:r>
    </w:p>
    <w:p>
      <w:pPr>
        <w:pStyle w:val="Body"/>
        <w:rPr>
          <w:rFonts w:ascii="Arial" w:cs="Arial" w:hAnsi="Arial" w:eastAsia="Arial"/>
          <w:sz w:val="28"/>
          <w:szCs w:val="28"/>
          <w:lang w:val="en-US"/>
        </w:rPr>
      </w:pPr>
    </w:p>
    <w:p>
      <w:pPr>
        <w:pStyle w:val="Body"/>
        <w:rPr>
          <w:rFonts w:ascii="Arial" w:cs="Arial" w:hAnsi="Arial" w:eastAsia="Arial"/>
          <w:sz w:val="28"/>
          <w:szCs w:val="28"/>
        </w:rPr>
      </w:pPr>
      <w:r>
        <w:rPr>
          <w:rFonts w:ascii="Arial" w:hAnsi="Arial"/>
          <w:sz w:val="28"/>
          <w:szCs w:val="28"/>
          <w:rtl w:val="0"/>
          <w:lang w:val="en-US"/>
        </w:rPr>
        <w:t>Discrimination can come in one of the following forms:</w:t>
      </w:r>
    </w:p>
    <w:p>
      <w:pPr>
        <w:pStyle w:val="Body"/>
        <w:numPr>
          <w:ilvl w:val="0"/>
          <w:numId w:val="41"/>
        </w:numPr>
        <w:bidi w:val="0"/>
        <w:ind w:right="0"/>
        <w:jc w:val="left"/>
        <w:rPr>
          <w:rFonts w:ascii="Arial" w:hAnsi="Arial"/>
          <w:sz w:val="28"/>
          <w:szCs w:val="28"/>
          <w:rtl w:val="0"/>
          <w:lang w:val="en-US"/>
        </w:rPr>
      </w:pPr>
      <w:r>
        <w:rPr>
          <w:rFonts w:ascii="Arial" w:hAnsi="Arial"/>
          <w:sz w:val="28"/>
          <w:szCs w:val="28"/>
          <w:rtl w:val="0"/>
          <w:lang w:val="en-US"/>
        </w:rPr>
        <w:t>direct discrimination - treating someone with a protected characteristic less favourably than others.</w:t>
      </w:r>
    </w:p>
    <w:p>
      <w:pPr>
        <w:pStyle w:val="Body"/>
        <w:numPr>
          <w:ilvl w:val="0"/>
          <w:numId w:val="41"/>
        </w:numPr>
        <w:bidi w:val="0"/>
        <w:ind w:right="0"/>
        <w:jc w:val="left"/>
        <w:rPr>
          <w:rFonts w:ascii="Arial" w:hAnsi="Arial"/>
          <w:sz w:val="28"/>
          <w:szCs w:val="28"/>
          <w:rtl w:val="0"/>
          <w:lang w:val="en-US"/>
        </w:rPr>
      </w:pPr>
      <w:r>
        <w:rPr>
          <w:rFonts w:ascii="Arial" w:hAnsi="Arial"/>
          <w:sz w:val="28"/>
          <w:szCs w:val="28"/>
          <w:rtl w:val="0"/>
          <w:lang w:val="en-US"/>
        </w:rPr>
        <w:t>indirect discrimination - putting rules or arrangements in place that apply to everyone, but that put someone with a protected characteristic at an unfair disadvantage.</w:t>
      </w:r>
    </w:p>
    <w:p>
      <w:pPr>
        <w:pStyle w:val="Body"/>
        <w:numPr>
          <w:ilvl w:val="0"/>
          <w:numId w:val="41"/>
        </w:numPr>
        <w:bidi w:val="0"/>
        <w:ind w:right="0"/>
        <w:jc w:val="left"/>
        <w:rPr>
          <w:rFonts w:ascii="Arial" w:hAnsi="Arial"/>
          <w:sz w:val="28"/>
          <w:szCs w:val="28"/>
          <w:rtl w:val="0"/>
          <w:lang w:val="en-US"/>
        </w:rPr>
      </w:pPr>
      <w:r>
        <w:rPr>
          <w:rFonts w:ascii="Arial" w:hAnsi="Arial"/>
          <w:sz w:val="28"/>
          <w:szCs w:val="28"/>
          <w:rtl w:val="0"/>
          <w:lang w:val="en-US"/>
        </w:rPr>
        <w:t>harassment - unwanted behaviour linked to a protected characteristic that violates someone</w:t>
      </w:r>
      <w:r>
        <w:rPr>
          <w:rFonts w:ascii="Arial" w:hAnsi="Arial" w:hint="default"/>
          <w:sz w:val="28"/>
          <w:szCs w:val="28"/>
          <w:rtl w:val="0"/>
          <w:lang w:val="en-US"/>
        </w:rPr>
        <w:t>’</w:t>
      </w:r>
      <w:r>
        <w:rPr>
          <w:rFonts w:ascii="Arial" w:hAnsi="Arial"/>
          <w:sz w:val="28"/>
          <w:szCs w:val="28"/>
          <w:rtl w:val="0"/>
          <w:lang w:val="en-US"/>
        </w:rPr>
        <w:t>s dignity or creates an offensive environment for them.</w:t>
      </w:r>
    </w:p>
    <w:p>
      <w:pPr>
        <w:pStyle w:val="Body"/>
        <w:numPr>
          <w:ilvl w:val="0"/>
          <w:numId w:val="41"/>
        </w:numPr>
        <w:bidi w:val="0"/>
        <w:ind w:right="0"/>
        <w:jc w:val="left"/>
        <w:rPr>
          <w:rFonts w:ascii="Arial" w:hAnsi="Arial"/>
          <w:sz w:val="28"/>
          <w:szCs w:val="28"/>
          <w:rtl w:val="0"/>
          <w:lang w:val="en-US"/>
        </w:rPr>
      </w:pPr>
      <w:r>
        <w:rPr>
          <w:rFonts w:ascii="Arial" w:hAnsi="Arial"/>
          <w:sz w:val="28"/>
          <w:szCs w:val="28"/>
          <w:rtl w:val="0"/>
          <w:lang w:val="en-US"/>
        </w:rPr>
        <w:t>victimisation - treating someone unfairly because they</w:t>
      </w:r>
      <w:r>
        <w:rPr>
          <w:rFonts w:ascii="Arial" w:hAnsi="Arial" w:hint="default"/>
          <w:sz w:val="28"/>
          <w:szCs w:val="28"/>
          <w:rtl w:val="0"/>
          <w:lang w:val="en-US"/>
        </w:rPr>
        <w:t>’</w:t>
      </w:r>
      <w:r>
        <w:rPr>
          <w:rFonts w:ascii="Arial" w:hAnsi="Arial"/>
          <w:sz w:val="28"/>
          <w:szCs w:val="28"/>
          <w:rtl w:val="0"/>
          <w:lang w:val="en-US"/>
        </w:rPr>
        <w:t>ve complained about discrimination or harassment.</w:t>
      </w:r>
    </w:p>
    <w:p>
      <w:pPr>
        <w:pStyle w:val="Body"/>
        <w:rPr>
          <w:rFonts w:ascii="Arial" w:cs="Arial" w:hAnsi="Arial" w:eastAsia="Arial"/>
          <w:b w:val="1"/>
          <w:bCs w:val="1"/>
          <w:sz w:val="28"/>
          <w:szCs w:val="28"/>
        </w:rPr>
      </w:pPr>
    </w:p>
    <w:p>
      <w:pPr>
        <w:pStyle w:val="Body"/>
      </w:pPr>
      <w:r>
        <w:rPr>
          <w:rFonts w:ascii="Arial" w:cs="Arial" w:hAnsi="Arial" w:eastAsia="Arial"/>
          <w:b w:val="1"/>
          <w:bCs w:val="1"/>
          <w:sz w:val="28"/>
          <w:szCs w:val="28"/>
        </w:rPr>
      </w:r>
    </w:p>
    <w:sectPr>
      <w:headerReference w:type="default" r:id="rId4"/>
      <w:headerReference w:type="first" r:id="rId5"/>
      <w:footerReference w:type="default" r:id="rId6"/>
      <w:footerReference w:type="first" r:id="rId7"/>
      <w:pgSz w:w="12240" w:h="15840" w:orient="portrait"/>
      <w:pgMar w:top="851" w:right="758" w:bottom="1440" w:left="993"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Courier New">
    <w:charset w:val="00"/>
    <w:family w:val="roman"/>
    <w:pitch w:val="default"/>
  </w:font>
  <w:font w:name="Helvetica 55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tabs>
        <w:tab w:val="right" w:pos="10469"/>
        <w:tab w:val="clear" w:pos="8640"/>
      </w:tabs>
      <w:rPr>
        <w:rFonts w:ascii="Calibri" w:cs="Calibri" w:hAnsi="Calibri" w:eastAsia="Calibri"/>
        <w:sz w:val="20"/>
        <w:szCs w:val="20"/>
      </w:rPr>
    </w:pPr>
    <w:r>
      <w:rPr>
        <w:rFonts w:ascii="Calibri" w:cs="Calibri" w:hAnsi="Calibri" w:eastAsia="Calibri"/>
        <w:sz w:val="20"/>
        <w:szCs w:val="20"/>
        <w:rtl w:val="0"/>
        <w:lang w:val="en-US"/>
      </w:rPr>
      <w:t>Diversity and Inclusion</w:t>
    </w:r>
    <w:r>
      <w:rPr>
        <w:rFonts w:ascii="Calibri" w:cs="Calibri" w:hAnsi="Calibri" w:eastAsia="Calibri"/>
        <w:sz w:val="20"/>
        <w:szCs w:val="20"/>
        <w:rtl w:val="0"/>
        <w:lang w:val="en-US"/>
      </w:rPr>
      <w:t xml:space="preserve"> Policy and Concern Reporting Procedure</w:t>
      <w:tab/>
    </w:r>
    <w:r>
      <w:rPr>
        <w:rFonts w:ascii="Calibri" w:cs="Calibri" w:hAnsi="Calibri" w:eastAsia="Calibri"/>
        <w:sz w:val="20"/>
        <w:szCs w:val="20"/>
        <w:rtl w:val="0"/>
        <w:lang w:val="en-US"/>
      </w:rPr>
      <w:t xml:space="preserve">Page </w:t>
    </w:r>
    <w:r>
      <w:rPr>
        <w:rFonts w:ascii="Calibri" w:cs="Calibri" w:hAnsi="Calibri" w:eastAsia="Calibri"/>
        <w:sz w:val="20"/>
        <w:szCs w:val="20"/>
        <w:rtl w:val="0"/>
        <w:lang w:val="en-US"/>
      </w:rPr>
      <w:fldChar w:fldCharType="begin" w:fldLock="0"/>
    </w:r>
    <w:r>
      <w:rPr>
        <w:rFonts w:ascii="Calibri" w:cs="Calibri" w:hAnsi="Calibri" w:eastAsia="Calibri"/>
        <w:sz w:val="20"/>
        <w:szCs w:val="20"/>
        <w:rtl w:val="0"/>
        <w:lang w:val="en-US"/>
      </w:rPr>
      <w:instrText xml:space="preserve"> PAGE </w:instrText>
    </w:r>
    <w:r>
      <w:rPr>
        <w:rFonts w:ascii="Calibri" w:cs="Calibri" w:hAnsi="Calibri" w:eastAsia="Calibri"/>
        <w:sz w:val="20"/>
        <w:szCs w:val="20"/>
        <w:rtl w:val="0"/>
        <w:lang w:val="en-US"/>
      </w:rPr>
      <w:fldChar w:fldCharType="separate" w:fldLock="0"/>
    </w:r>
    <w:r>
      <w:rPr>
        <w:rFonts w:ascii="Calibri" w:cs="Calibri" w:hAnsi="Calibri" w:eastAsia="Calibri"/>
        <w:sz w:val="20"/>
        <w:szCs w:val="20"/>
        <w:rtl w:val="0"/>
        <w:lang w:val="en-US"/>
      </w:rPr>
      <w:fldChar w:fldCharType="end" w:fldLock="0"/>
    </w:r>
    <w:r>
      <w:rPr>
        <w:rFonts w:ascii="Calibri" w:cs="Calibri" w:hAnsi="Calibri" w:eastAsia="Calibri"/>
        <w:sz w:val="20"/>
        <w:szCs w:val="20"/>
        <w:rtl w:val="0"/>
        <w:lang w:val="en-US"/>
      </w:rPr>
      <w:t xml:space="preserve"> of </w:t>
    </w:r>
    <w:r>
      <w:rPr>
        <w:rFonts w:ascii="Calibri" w:cs="Calibri" w:hAnsi="Calibri" w:eastAsia="Calibri"/>
        <w:sz w:val="20"/>
        <w:szCs w:val="20"/>
        <w:rtl w:val="0"/>
        <w:lang w:val="en-US"/>
      </w:rPr>
      <w:fldChar w:fldCharType="begin" w:fldLock="0"/>
    </w:r>
    <w:r>
      <w:rPr>
        <w:rFonts w:ascii="Calibri" w:cs="Calibri" w:hAnsi="Calibri" w:eastAsia="Calibri"/>
        <w:sz w:val="20"/>
        <w:szCs w:val="20"/>
        <w:rtl w:val="0"/>
        <w:lang w:val="en-US"/>
      </w:rPr>
      <w:instrText xml:space="preserve"> NUMPAGES </w:instrText>
    </w:r>
    <w:r>
      <w:rPr>
        <w:rFonts w:ascii="Calibri" w:cs="Calibri" w:hAnsi="Calibri" w:eastAsia="Calibri"/>
        <w:sz w:val="20"/>
        <w:szCs w:val="20"/>
        <w:rtl w:val="0"/>
        <w:lang w:val="en-US"/>
      </w:rPr>
      <w:fldChar w:fldCharType="separate" w:fldLock="0"/>
    </w:r>
    <w:r>
      <w:rPr>
        <w:rFonts w:ascii="Calibri" w:cs="Calibri" w:hAnsi="Calibri" w:eastAsia="Calibri"/>
        <w:sz w:val="20"/>
        <w:szCs w:val="20"/>
        <w:rtl w:val="0"/>
        <w:lang w:val="en-US"/>
      </w:rPr>
      <w:fldChar w:fldCharType="end" w:fldLock="0"/>
    </w:r>
  </w:p>
  <w:p>
    <w:pPr>
      <w:pStyle w:val="footer"/>
    </w:pPr>
    <w:r>
      <w:rPr>
        <w:rFonts w:ascii="Calibri" w:cs="Calibri" w:hAnsi="Calibri" w:eastAsia="Calibri"/>
        <w:sz w:val="20"/>
        <w:szCs w:val="20"/>
        <w:rtl w:val="0"/>
        <w:lang w:val="en-US"/>
      </w:rPr>
      <w:t xml:space="preserve">Last Updated: </w:t>
    </w:r>
    <w:r>
      <w:rPr>
        <w:rFonts w:ascii="Calibri" w:cs="Calibri" w:hAnsi="Calibri" w:eastAsia="Calibri"/>
        <w:sz w:val="20"/>
        <w:szCs w:val="20"/>
        <w:rtl w:val="0"/>
        <w:lang w:val="en-US"/>
      </w:rPr>
      <w:t>October 2022</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Review 2023(or</w:t>
    </w:r>
    <w:r>
      <w:rPr>
        <w:rFonts w:ascii="Calibri" w:cs="Calibri" w:hAnsi="Calibri" w:eastAsia="Calibri"/>
        <w:i w:val="1"/>
        <w:iCs w:val="1"/>
        <w:sz w:val="20"/>
        <w:szCs w:val="20"/>
        <w:rtl w:val="0"/>
        <w:lang w:val="en-US"/>
      </w:rPr>
      <w:t xml:space="preserve"> earlier if there is a change in legislation)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tab/>
      <w:tab/>
      <w:t xml:space="preserve">    </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b w:val="1"/>
          <w:bCs w:val="1"/>
          <w:sz w:val="22"/>
          <w:szCs w:val="22"/>
          <w:vertAlign w:val="superscript"/>
          <w:lang w:val="en-US"/>
        </w:rPr>
        <w:footnoteRef/>
      </w:r>
      <w:r>
        <w:rPr>
          <w:rFonts w:cs="Arial Unicode MS" w:eastAsia="Arial Unicode MS"/>
          <w:rtl w:val="0"/>
        </w:rPr>
        <w:t xml:space="preserve"> </w:t>
      </w:r>
      <w:r>
        <w:rPr>
          <w:rStyle w:val="Link"/>
        </w:rPr>
        <w:fldChar w:fldCharType="begin" w:fldLock="0"/>
      </w:r>
      <w:r>
        <w:rPr>
          <w:rStyle w:val="Link"/>
        </w:rPr>
        <w:instrText xml:space="preserve"> HYPERLINK "http://www.legislation.gov.uk/ukpga/2010/15/contents"</w:instrText>
      </w:r>
      <w:r>
        <w:rPr>
          <w:rStyle w:val="Link"/>
        </w:rPr>
        <w:fldChar w:fldCharType="separate" w:fldLock="0"/>
      </w:r>
      <w:r>
        <w:rPr>
          <w:rStyle w:val="Link"/>
          <w:rFonts w:cs="Arial Unicode MS" w:eastAsia="Arial Unicode MS"/>
          <w:rtl w:val="0"/>
        </w:rPr>
        <w:t>http://www.legislation.gov.uk/ukpga/2010/15/contents</w:t>
      </w:r>
      <w:r>
        <w:rPr/>
        <w:fldChar w:fldCharType="end" w:fldLock="0"/>
      </w:r>
      <w:r>
        <w:rPr>
          <w:rFonts w:cs="Arial Unicode MS" w:eastAsia="Arial Unicode MS"/>
          <w:rtl w:val="0"/>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71"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91"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11"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31"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51"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71"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91"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11"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31"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71" w:hanging="4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8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4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0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840"/>
        </w:tabs>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left" w:pos="840"/>
        </w:tabs>
        <w:ind w:left="15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9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36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51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8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72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10"/>
  </w:abstractNum>
  <w:abstractNum w:abstractNumId="20">
    <w:multiLevelType w:val="hybridMultilevel"/>
    <w:styleLink w:val="Imported Style 1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9"/>
  </w:abstractNum>
  <w:abstractNum w:abstractNumId="22">
    <w:multiLevelType w:val="hybridMultilevel"/>
    <w:styleLink w:val="Imported Style 9"/>
    <w:lvl w:ilvl="0">
      <w:start w:val="1"/>
      <w:numFmt w:val="bullet"/>
      <w:suff w:val="tab"/>
      <w:lvlText w:val="·"/>
      <w:lvlJc w:val="left"/>
      <w:pPr>
        <w:ind w:left="81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ed Style 12"/>
  </w:abstractNum>
  <w:abstractNum w:abstractNumId="24">
    <w:multiLevelType w:val="hybridMultilevel"/>
    <w:styleLink w:val="Imported Style 12"/>
    <w:lvl w:ilvl="0">
      <w:start w:val="1"/>
      <w:numFmt w:val="bullet"/>
      <w:suff w:val="tab"/>
      <w:lvlText w:val="o"/>
      <w:lvlJc w:val="left"/>
      <w:pPr>
        <w:ind w:left="8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o"/>
      <w:lvlJc w:val="left"/>
      <w:pPr>
        <w:tabs>
          <w:tab w:val="left" w:pos="720"/>
        </w:tabs>
        <w:ind w:left="15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o"/>
      <w:lvlJc w:val="left"/>
      <w:pPr>
        <w:tabs>
          <w:tab w:val="left" w:pos="720"/>
        </w:tabs>
        <w:ind w:left="22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o"/>
      <w:lvlJc w:val="left"/>
      <w:pPr>
        <w:tabs>
          <w:tab w:val="left" w:pos="720"/>
        </w:tabs>
        <w:ind w:left="29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o"/>
      <w:lvlJc w:val="left"/>
      <w:pPr>
        <w:tabs>
          <w:tab w:val="left" w:pos="720"/>
        </w:tabs>
        <w:ind w:left="369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o"/>
      <w:lvlJc w:val="left"/>
      <w:pPr>
        <w:tabs>
          <w:tab w:val="left" w:pos="720"/>
        </w:tabs>
        <w:ind w:left="44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o"/>
      <w:lvlJc w:val="left"/>
      <w:pPr>
        <w:tabs>
          <w:tab w:val="left" w:pos="720"/>
        </w:tabs>
        <w:ind w:left="51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o"/>
      <w:lvlJc w:val="left"/>
      <w:pPr>
        <w:tabs>
          <w:tab w:val="left" w:pos="720"/>
        </w:tabs>
        <w:ind w:left="58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o"/>
      <w:lvlJc w:val="left"/>
      <w:pPr>
        <w:tabs>
          <w:tab w:val="left" w:pos="720"/>
        </w:tabs>
        <w:ind w:left="65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25">
    <w:multiLevelType w:val="hybridMultilevel"/>
    <w:numStyleLink w:val="Imported Style 13"/>
  </w:abstractNum>
  <w:abstractNum w:abstractNumId="26">
    <w:multiLevelType w:val="hybridMultilevel"/>
    <w:styleLink w:val="Imported Style 13"/>
    <w:lvl w:ilvl="0">
      <w:start w:val="1"/>
      <w:numFmt w:val="bullet"/>
      <w:suff w:val="tab"/>
      <w:lvlText w:val="o"/>
      <w:lvlJc w:val="left"/>
      <w:pPr>
        <w:ind w:left="8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o"/>
      <w:lvlJc w:val="left"/>
      <w:pPr>
        <w:tabs>
          <w:tab w:val="left" w:pos="720"/>
        </w:tabs>
        <w:ind w:left="15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o"/>
      <w:lvlJc w:val="left"/>
      <w:pPr>
        <w:tabs>
          <w:tab w:val="left" w:pos="720"/>
        </w:tabs>
        <w:ind w:left="22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o"/>
      <w:lvlJc w:val="left"/>
      <w:pPr>
        <w:tabs>
          <w:tab w:val="left" w:pos="720"/>
        </w:tabs>
        <w:ind w:left="29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o"/>
      <w:lvlJc w:val="left"/>
      <w:pPr>
        <w:tabs>
          <w:tab w:val="left" w:pos="720"/>
        </w:tabs>
        <w:ind w:left="369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o"/>
      <w:lvlJc w:val="left"/>
      <w:pPr>
        <w:tabs>
          <w:tab w:val="left" w:pos="720"/>
        </w:tabs>
        <w:ind w:left="44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o"/>
      <w:lvlJc w:val="left"/>
      <w:pPr>
        <w:tabs>
          <w:tab w:val="left" w:pos="720"/>
        </w:tabs>
        <w:ind w:left="51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o"/>
      <w:lvlJc w:val="left"/>
      <w:pPr>
        <w:tabs>
          <w:tab w:val="left" w:pos="720"/>
        </w:tabs>
        <w:ind w:left="58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o"/>
      <w:lvlJc w:val="left"/>
      <w:pPr>
        <w:tabs>
          <w:tab w:val="left" w:pos="720"/>
        </w:tabs>
        <w:ind w:left="65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27">
    <w:multiLevelType w:val="hybridMultilevel"/>
    <w:numStyleLink w:val="Imported Style 14"/>
  </w:abstractNum>
  <w:abstractNum w:abstractNumId="28">
    <w:multiLevelType w:val="hybridMultilevel"/>
    <w:styleLink w:val="Imported Style 14"/>
    <w:lvl w:ilvl="0">
      <w:start w:val="1"/>
      <w:numFmt w:val="bullet"/>
      <w:suff w:val="tab"/>
      <w:lvlText w:val="o"/>
      <w:lvlJc w:val="left"/>
      <w:pPr>
        <w:ind w:left="8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o"/>
      <w:lvlJc w:val="left"/>
      <w:pPr>
        <w:tabs>
          <w:tab w:val="left" w:pos="720"/>
        </w:tabs>
        <w:ind w:left="15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o"/>
      <w:lvlJc w:val="left"/>
      <w:pPr>
        <w:tabs>
          <w:tab w:val="left" w:pos="720"/>
        </w:tabs>
        <w:ind w:left="22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o"/>
      <w:lvlJc w:val="left"/>
      <w:pPr>
        <w:tabs>
          <w:tab w:val="left" w:pos="720"/>
        </w:tabs>
        <w:ind w:left="29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o"/>
      <w:lvlJc w:val="left"/>
      <w:pPr>
        <w:tabs>
          <w:tab w:val="left" w:pos="720"/>
        </w:tabs>
        <w:ind w:left="369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o"/>
      <w:lvlJc w:val="left"/>
      <w:pPr>
        <w:tabs>
          <w:tab w:val="left" w:pos="720"/>
        </w:tabs>
        <w:ind w:left="44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o"/>
      <w:lvlJc w:val="left"/>
      <w:pPr>
        <w:tabs>
          <w:tab w:val="left" w:pos="720"/>
        </w:tabs>
        <w:ind w:left="51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o"/>
      <w:lvlJc w:val="left"/>
      <w:pPr>
        <w:tabs>
          <w:tab w:val="left" w:pos="720"/>
        </w:tabs>
        <w:ind w:left="58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o"/>
      <w:lvlJc w:val="left"/>
      <w:pPr>
        <w:tabs>
          <w:tab w:val="left" w:pos="720"/>
        </w:tabs>
        <w:ind w:left="65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29">
    <w:multiLevelType w:val="hybridMultilevel"/>
    <w:numStyleLink w:val="Imported Style 15"/>
  </w:abstractNum>
  <w:abstractNum w:abstractNumId="30">
    <w:multiLevelType w:val="hybridMultilevel"/>
    <w:styleLink w:val="Imported Style 15"/>
    <w:lvl w:ilvl="0">
      <w:start w:val="1"/>
      <w:numFmt w:val="bullet"/>
      <w:suff w:val="tab"/>
      <w:lvlText w:val="o"/>
      <w:lvlJc w:val="left"/>
      <w:pPr>
        <w:ind w:left="8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o"/>
      <w:lvlJc w:val="left"/>
      <w:pPr>
        <w:tabs>
          <w:tab w:val="left" w:pos="720"/>
        </w:tabs>
        <w:ind w:left="15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o"/>
      <w:lvlJc w:val="left"/>
      <w:pPr>
        <w:tabs>
          <w:tab w:val="left" w:pos="720"/>
        </w:tabs>
        <w:ind w:left="22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o"/>
      <w:lvlJc w:val="left"/>
      <w:pPr>
        <w:tabs>
          <w:tab w:val="left" w:pos="720"/>
        </w:tabs>
        <w:ind w:left="29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o"/>
      <w:lvlJc w:val="left"/>
      <w:pPr>
        <w:tabs>
          <w:tab w:val="left" w:pos="720"/>
        </w:tabs>
        <w:ind w:left="369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o"/>
      <w:lvlJc w:val="left"/>
      <w:pPr>
        <w:tabs>
          <w:tab w:val="left" w:pos="720"/>
        </w:tabs>
        <w:ind w:left="44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o"/>
      <w:lvlJc w:val="left"/>
      <w:pPr>
        <w:tabs>
          <w:tab w:val="left" w:pos="720"/>
        </w:tabs>
        <w:ind w:left="51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o"/>
      <w:lvlJc w:val="left"/>
      <w:pPr>
        <w:tabs>
          <w:tab w:val="left" w:pos="720"/>
        </w:tabs>
        <w:ind w:left="58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o"/>
      <w:lvlJc w:val="left"/>
      <w:pPr>
        <w:tabs>
          <w:tab w:val="left" w:pos="720"/>
        </w:tabs>
        <w:ind w:left="65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7"/>
  </w:num>
  <w:num w:numId="9">
    <w:abstractNumId w:val="6"/>
  </w:num>
  <w:num w:numId="10">
    <w:abstractNumId w:val="9"/>
  </w:num>
  <w:num w:numId="11">
    <w:abstractNumId w:val="8"/>
  </w:num>
  <w:num w:numId="12">
    <w:abstractNumId w:val="2"/>
    <w:lvlOverride w:ilvl="0">
      <w:startOverride w:val="4"/>
      <w:lvl w:ilvl="0">
        <w:start w:val="4"/>
        <w:numFmt w:val="decimal"/>
        <w:suff w:val="tab"/>
        <w:lvlText w:val="%1."/>
        <w:lvlJc w:val="left"/>
        <w:pPr>
          <w:tabs>
            <w:tab w:val="left" w:pos="840"/>
          </w:tabs>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840"/>
          </w:tabs>
          <w:ind w:left="1171" w:hanging="42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840"/>
          </w:tabs>
          <w:ind w:left="188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40"/>
          </w:tabs>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840"/>
          </w:tabs>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840"/>
          </w:tabs>
          <w:ind w:left="404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40"/>
          </w:tabs>
          <w:ind w:left="47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840"/>
          </w:tabs>
          <w:ind w:left="54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840"/>
          </w:tabs>
          <w:ind w:left="620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0"/>
    <w:lvlOverride w:ilvl="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9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2"/>
    <w:lvlOverride w:ilvl="0">
      <w:startOverride w:val="5"/>
      <w:lvl w:ilvl="0">
        <w:start w:val="5"/>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71" w:hanging="42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8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04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7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204"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9">
    <w:abstractNumId w:val="15"/>
  </w:num>
  <w:num w:numId="20">
    <w:abstractNumId w:val="14"/>
  </w:num>
  <w:num w:numId="21">
    <w:abstractNumId w:val="2"/>
    <w:lvlOverride w:ilvl="0">
      <w:startOverride w:val="6"/>
    </w:lvlOverride>
  </w:num>
  <w:num w:numId="22">
    <w:abstractNumId w:val="16"/>
  </w:num>
  <w:num w:numId="23">
    <w:abstractNumId w:val="17"/>
  </w:num>
  <w:num w:numId="24">
    <w:abstractNumId w:val="18"/>
  </w:num>
  <w:num w:numId="25">
    <w:abstractNumId w:val="20"/>
  </w:num>
  <w:num w:numId="26">
    <w:abstractNumId w:val="19"/>
  </w:num>
  <w:num w:numId="27">
    <w:abstractNumId w:val="19"/>
    <w:lvlOverride w:ilvl="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num>
  <w:num w:numId="28">
    <w:abstractNumId w:val="14"/>
    <w:lvlOverride w:ilvl="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4"/>
    <w:lvlOverride w:ilvl="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num>
  <w:num w:numId="30">
    <w:abstractNumId w:val="22"/>
  </w:num>
  <w:num w:numId="31">
    <w:abstractNumId w:val="21"/>
  </w:num>
  <w:num w:numId="32">
    <w:abstractNumId w:val="21"/>
    <w:lvlOverride w:ilvl="0">
      <w:lvl w:ilvl="0">
        <w:start w:val="1"/>
        <w:numFmt w:val="bullet"/>
        <w:suff w:val="tab"/>
        <w:lvlText w:val="·"/>
        <w:lvlJc w:val="left"/>
        <w:pPr>
          <w:ind w:left="81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start w:val="1"/>
        <w:numFmt w:val="bullet"/>
        <w:suff w:val="tab"/>
        <w:lvlText w:val="▪"/>
        <w:lvlJc w:val="left"/>
        <w:pPr>
          <w:ind w:left="22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start w:val="1"/>
        <w:numFmt w:val="bullet"/>
        <w:suff w:val="tab"/>
        <w:lvlText w:val="·"/>
        <w:lvlJc w:val="left"/>
        <w:pPr>
          <w:ind w:left="297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start w:val="1"/>
        <w:numFmt w:val="bullet"/>
        <w:suff w:val="tab"/>
        <w:lvlText w:val="o"/>
        <w:lvlJc w:val="left"/>
        <w:pPr>
          <w:ind w:left="369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start w:val="1"/>
        <w:numFmt w:val="bullet"/>
        <w:suff w:val="tab"/>
        <w:lvlText w:val="▪"/>
        <w:lvlJc w:val="left"/>
        <w:pPr>
          <w:ind w:left="441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start w:val="1"/>
        <w:numFmt w:val="bullet"/>
        <w:suff w:val="tab"/>
        <w:lvlText w:val="·"/>
        <w:lvlJc w:val="left"/>
        <w:pPr>
          <w:ind w:left="513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start w:val="1"/>
        <w:numFmt w:val="bullet"/>
        <w:suff w:val="tab"/>
        <w:lvlText w:val="o"/>
        <w:lvlJc w:val="left"/>
        <w:pPr>
          <w:ind w:left="58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start w:val="1"/>
        <w:numFmt w:val="bullet"/>
        <w:suff w:val="tab"/>
        <w:lvlText w:val="▪"/>
        <w:lvlJc w:val="left"/>
        <w:pPr>
          <w:ind w:left="657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num>
  <w:num w:numId="33">
    <w:abstractNumId w:val="21"/>
    <w:lvlOverride w:ilvl="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num>
  <w:num w:numId="34">
    <w:abstractNumId w:val="24"/>
  </w:num>
  <w:num w:numId="35">
    <w:abstractNumId w:val="23"/>
  </w:num>
  <w:num w:numId="36">
    <w:abstractNumId w:val="26"/>
  </w:num>
  <w:num w:numId="37">
    <w:abstractNumId w:val="25"/>
  </w:num>
  <w:num w:numId="38">
    <w:abstractNumId w:val="28"/>
  </w:num>
  <w:num w:numId="39">
    <w:abstractNumId w:val="27"/>
  </w:num>
  <w:num w:numId="40">
    <w:abstractNumId w:val="30"/>
  </w:num>
  <w:num w:numId="41">
    <w:abstractNumId w:val="29"/>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371"/>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hd w:val="nil" w:color="auto" w:fill="auto"/>
      <w:lang w:val="en-US"/>
    </w:rPr>
  </w:style>
  <w:style w:type="character" w:styleId="Hyperlink.1">
    <w:name w:val="Hyperlink.1"/>
    <w:basedOn w:val="Link"/>
    <w:next w:val="Hyperlink.1"/>
    <w:rPr>
      <w:shd w:val="clear" w:color="auto" w:fill="8db3e2"/>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3"/>
      </w:numPr>
    </w:pPr>
  </w:style>
  <w:style w:type="numbering" w:styleId="Imported Style 7">
    <w:name w:val="Imported Style 7"/>
    <w:pPr>
      <w:numPr>
        <w:numId w:val="16"/>
      </w:numPr>
    </w:p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Imported Style 8">
    <w:name w:val="Imported Style 8"/>
    <w:pPr>
      <w:numPr>
        <w:numId w:val="19"/>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0">
    <w:name w:val="Imported Style 10"/>
    <w:pPr>
      <w:numPr>
        <w:numId w:val="25"/>
      </w:numPr>
    </w:pPr>
  </w:style>
  <w:style w:type="numbering" w:styleId="Imported Style 9">
    <w:name w:val="Imported Style 9"/>
    <w:pPr>
      <w:numPr>
        <w:numId w:val="30"/>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2">
    <w:name w:val="Imported Style 12"/>
    <w:pPr>
      <w:numPr>
        <w:numId w:val="34"/>
      </w:numPr>
    </w:pPr>
  </w:style>
  <w:style w:type="numbering" w:styleId="Imported Style 13">
    <w:name w:val="Imported Style 13"/>
    <w:pPr>
      <w:numPr>
        <w:numId w:val="36"/>
      </w:numPr>
    </w:pPr>
  </w:style>
  <w:style w:type="numbering" w:styleId="Imported Style 14">
    <w:name w:val="Imported Style 14"/>
    <w:pPr>
      <w:numPr>
        <w:numId w:val="38"/>
      </w:numPr>
    </w:pPr>
  </w:style>
  <w:style w:type="numbering" w:styleId="Imported Style 15">
    <w:name w:val="Imported Style 15"/>
    <w:pPr>
      <w:numPr>
        <w:numId w:val="4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